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016C3" w14:textId="38A0EE17" w:rsidR="00E90E49" w:rsidRPr="00791486"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9027D4">
        <w:t>100</w:t>
      </w:r>
      <w:r w:rsidR="00791486">
        <w:t>-e</w:t>
      </w:r>
      <w:r w:rsidRPr="00CE0424">
        <w:tab/>
      </w:r>
      <w:proofErr w:type="spellStart"/>
      <w:r w:rsidRPr="00CE0424">
        <w:rPr>
          <w:sz w:val="32"/>
          <w:szCs w:val="32"/>
        </w:rPr>
        <w:t>Tdoc</w:t>
      </w:r>
      <w:proofErr w:type="spellEnd"/>
      <w:r w:rsidRPr="00CE0424">
        <w:rPr>
          <w:sz w:val="32"/>
          <w:szCs w:val="32"/>
        </w:rPr>
        <w:t xml:space="preserve"> </w:t>
      </w:r>
      <w:r w:rsidR="00091557" w:rsidRPr="00791486">
        <w:rPr>
          <w:sz w:val="32"/>
          <w:szCs w:val="32"/>
        </w:rPr>
        <w:t>R</w:t>
      </w:r>
      <w:r w:rsidR="008F1C4E" w:rsidRPr="00791486">
        <w:rPr>
          <w:sz w:val="32"/>
          <w:szCs w:val="32"/>
        </w:rPr>
        <w:t>1</w:t>
      </w:r>
      <w:r w:rsidR="00091557" w:rsidRPr="00791486">
        <w:rPr>
          <w:sz w:val="32"/>
          <w:szCs w:val="32"/>
        </w:rPr>
        <w:t>-</w:t>
      </w:r>
      <w:r w:rsidR="009027D4" w:rsidRPr="00791486">
        <w:rPr>
          <w:sz w:val="32"/>
          <w:szCs w:val="32"/>
        </w:rPr>
        <w:t>20</w:t>
      </w:r>
      <w:r w:rsidR="002342D0" w:rsidRPr="00791486">
        <w:rPr>
          <w:sz w:val="32"/>
          <w:szCs w:val="32"/>
        </w:rPr>
        <w:t>00824</w:t>
      </w:r>
    </w:p>
    <w:p w14:paraId="3D360836" w14:textId="449A0F5F" w:rsidR="00E90E49" w:rsidRPr="00CE0424" w:rsidRDefault="00791486" w:rsidP="00311702">
      <w:pPr>
        <w:pStyle w:val="3GPPHeader"/>
      </w:pPr>
      <w:r>
        <w:t>e-Meeting</w:t>
      </w:r>
      <w:r w:rsidR="0027144F" w:rsidRPr="009027D4">
        <w:t xml:space="preserve">, </w:t>
      </w:r>
      <w:r w:rsidR="009027D4" w:rsidRPr="009027D4">
        <w:t>24</w:t>
      </w:r>
      <w:r w:rsidRPr="00791486">
        <w:rPr>
          <w:vertAlign w:val="superscript"/>
        </w:rPr>
        <w:t>th</w:t>
      </w:r>
      <w:r>
        <w:t xml:space="preserve"> February – 6</w:t>
      </w:r>
      <w:r w:rsidRPr="00791486">
        <w:rPr>
          <w:vertAlign w:val="superscript"/>
        </w:rPr>
        <w:t>th</w:t>
      </w:r>
      <w:r>
        <w:t xml:space="preserve"> </w:t>
      </w:r>
      <w:proofErr w:type="gramStart"/>
      <w:r>
        <w:t>March</w:t>
      </w:r>
      <w:bookmarkStart w:id="0" w:name="_GoBack"/>
      <w:bookmarkEnd w:id="0"/>
      <w:r w:rsidR="009027D4" w:rsidRPr="009027D4">
        <w:t>,</w:t>
      </w:r>
      <w:proofErr w:type="gramEnd"/>
      <w:r w:rsidR="009027D4" w:rsidRPr="009027D4">
        <w:t xml:space="preserve"> </w:t>
      </w:r>
      <w:r w:rsidR="0027144F" w:rsidRPr="009027D4">
        <w:t>2</w:t>
      </w:r>
      <w:r w:rsidR="009027D4" w:rsidRPr="009027D4">
        <w:t>020</w:t>
      </w:r>
    </w:p>
    <w:p w14:paraId="5CE5E37F" w14:textId="77777777" w:rsidR="00E90E49" w:rsidRPr="00CE0424" w:rsidRDefault="00E90E49" w:rsidP="00357380">
      <w:pPr>
        <w:pStyle w:val="3GPPHeader"/>
      </w:pPr>
    </w:p>
    <w:p w14:paraId="7A555DD8" w14:textId="69A49D8D"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9027D4" w:rsidRPr="000E3014">
        <w:rPr>
          <w:sz w:val="22"/>
          <w:lang w:val="sv-FI"/>
        </w:rPr>
        <w:t>7.2.2.</w:t>
      </w:r>
      <w:r w:rsidR="000E3014" w:rsidRPr="000E3014">
        <w:rPr>
          <w:sz w:val="22"/>
          <w:lang w:val="sv-FI"/>
        </w:rPr>
        <w:t>1.</w:t>
      </w:r>
      <w:r w:rsidR="008A3925">
        <w:rPr>
          <w:sz w:val="22"/>
          <w:lang w:val="sv-FI"/>
        </w:rPr>
        <w:t>2</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5B971EFB" w:rsidR="00E90E49" w:rsidRPr="00CE0424" w:rsidRDefault="003D3C45" w:rsidP="00311702">
      <w:pPr>
        <w:pStyle w:val="3GPPHeader"/>
        <w:rPr>
          <w:sz w:val="22"/>
        </w:rPr>
      </w:pPr>
      <w:r>
        <w:rPr>
          <w:sz w:val="22"/>
        </w:rPr>
        <w:t>Title:</w:t>
      </w:r>
      <w:r w:rsidR="00E90E49" w:rsidRPr="00CE0424">
        <w:rPr>
          <w:sz w:val="22"/>
        </w:rPr>
        <w:tab/>
      </w:r>
      <w:r w:rsidR="008A3925">
        <w:rPr>
          <w:sz w:val="22"/>
        </w:rPr>
        <w:t>DL</w:t>
      </w:r>
      <w:r w:rsidR="000E3014">
        <w:rPr>
          <w:sz w:val="22"/>
        </w:rPr>
        <w:t xml:space="preserve"> Signals and Channels</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p w14:paraId="002BA1AE" w14:textId="77777777" w:rsidR="00E90E49" w:rsidRPr="00CE0424" w:rsidRDefault="00E90E49" w:rsidP="00E90E49"/>
    <w:p w14:paraId="24E63993" w14:textId="77777777" w:rsidR="00E90E49" w:rsidRPr="00CE0424" w:rsidRDefault="00230D18" w:rsidP="00CE0424">
      <w:pPr>
        <w:pStyle w:val="Heading1"/>
      </w:pPr>
      <w:r>
        <w:t>1</w:t>
      </w:r>
      <w:r>
        <w:tab/>
      </w:r>
      <w:r w:rsidR="00E90E49" w:rsidRPr="00CE0424">
        <w:t>Introduction</w:t>
      </w:r>
    </w:p>
    <w:p w14:paraId="2F3B7A12" w14:textId="0E30D18C" w:rsidR="00477768" w:rsidRPr="00CE0424" w:rsidRDefault="000E3014" w:rsidP="00CE0424">
      <w:pPr>
        <w:pStyle w:val="BodyText"/>
      </w:pPr>
      <w:r>
        <w:t xml:space="preserve">This document </w:t>
      </w:r>
      <w:r w:rsidR="00BE122D">
        <w:t>presents some proposals to resolve the remaining important issues for</w:t>
      </w:r>
      <w:r>
        <w:t xml:space="preserve"> NR-U maintenance under the </w:t>
      </w:r>
      <w:r w:rsidR="008A3925">
        <w:t>DL</w:t>
      </w:r>
      <w:r>
        <w:t xml:space="preserve"> signals and channels agenda item.</w:t>
      </w:r>
    </w:p>
    <w:p w14:paraId="21F1CC14" w14:textId="77777777" w:rsidR="00BE122D" w:rsidRDefault="00230D18" w:rsidP="00BE122D">
      <w:pPr>
        <w:pStyle w:val="Heading1"/>
      </w:pPr>
      <w:bookmarkStart w:id="1" w:name="_Ref178064866"/>
      <w:r>
        <w:t>2</w:t>
      </w:r>
      <w:r>
        <w:tab/>
      </w:r>
      <w:r w:rsidR="004000E8" w:rsidRPr="00CE0424">
        <w:t>Discussion</w:t>
      </w:r>
      <w:bookmarkEnd w:id="1"/>
    </w:p>
    <w:p w14:paraId="495A6C68" w14:textId="4C16D414" w:rsidR="000E3014" w:rsidRDefault="00BE122D" w:rsidP="00BE122D">
      <w:pPr>
        <w:pStyle w:val="Heading2"/>
      </w:pPr>
      <w:r>
        <w:t>2.1</w:t>
      </w:r>
      <w:r>
        <w:tab/>
        <w:t xml:space="preserve">RRC </w:t>
      </w:r>
      <w:proofErr w:type="spellStart"/>
      <w:r w:rsidR="009C1AA7">
        <w:t>Signaling</w:t>
      </w:r>
      <w:proofErr w:type="spellEnd"/>
      <w:r w:rsidR="009C1AA7">
        <w:t xml:space="preserve"> and </w:t>
      </w:r>
      <w:r>
        <w:t>Parameters</w:t>
      </w:r>
    </w:p>
    <w:p w14:paraId="2E98472F" w14:textId="77777777" w:rsidR="00704736" w:rsidRDefault="00BE122D" w:rsidP="00BE122D">
      <w:pPr>
        <w:pStyle w:val="BodyText"/>
      </w:pPr>
      <w:r>
        <w:t>Aspects related to RRC parameters for the operation of NR in shared spectrum are addressed in this section.</w:t>
      </w:r>
    </w:p>
    <w:p w14:paraId="5E5E45DF" w14:textId="3F94A2F1" w:rsidR="00197D9B" w:rsidRDefault="00713BC7" w:rsidP="00713BC7">
      <w:pPr>
        <w:pStyle w:val="Heading3"/>
      </w:pPr>
      <w:r>
        <w:t>2.1.1</w:t>
      </w:r>
      <w:r>
        <w:tab/>
      </w:r>
      <w:r w:rsidR="00197D9B">
        <w:t>Channel Occupancy Duration</w:t>
      </w:r>
    </w:p>
    <w:p w14:paraId="62B85BB1" w14:textId="02FC5EAF" w:rsidR="00250CC2" w:rsidRDefault="00250CC2" w:rsidP="00197D9B">
      <w:pPr>
        <w:pStyle w:val="BodyText"/>
      </w:pPr>
      <w:r>
        <w:t xml:space="preserve">In the running CR being developed by RAN2 for TS38.331, the highlighted aspects below have been left FFS and will need input from RAN1. </w:t>
      </w:r>
    </w:p>
    <w:p w14:paraId="70B8B13C" w14:textId="77777777" w:rsidR="00250CC2" w:rsidRDefault="00250CC2" w:rsidP="00250CC2">
      <w:pPr>
        <w:pStyle w:val="PL"/>
      </w:pPr>
      <w:r w:rsidRPr="00220FDC">
        <w:t>CO-DurationPerCell</w:t>
      </w:r>
      <w:r>
        <w:t>-r16</w:t>
      </w:r>
      <w:r w:rsidRPr="00220FDC">
        <w:t xml:space="preserve"> </w:t>
      </w:r>
      <w:r w:rsidRPr="00325D1F">
        <w:t xml:space="preserve">::=    </w:t>
      </w:r>
      <w:r w:rsidRPr="00777603">
        <w:rPr>
          <w:color w:val="993366"/>
        </w:rPr>
        <w:t>SEQUENCE</w:t>
      </w:r>
      <w:r w:rsidRPr="00325D1F">
        <w:t xml:space="preserve"> {</w:t>
      </w:r>
    </w:p>
    <w:p w14:paraId="7874514A" w14:textId="77777777" w:rsidR="00250CC2" w:rsidRDefault="00250CC2" w:rsidP="00250CC2">
      <w:pPr>
        <w:pStyle w:val="PL"/>
      </w:pPr>
      <w:r>
        <w:t xml:space="preserve">      servingCellId             ServCellIndex,</w:t>
      </w:r>
    </w:p>
    <w:p w14:paraId="215F85E3" w14:textId="77777777" w:rsidR="00250CC2" w:rsidRPr="005D6EB4" w:rsidRDefault="00250CC2" w:rsidP="00250CC2">
      <w:pPr>
        <w:pStyle w:val="PL"/>
        <w:rPr>
          <w:color w:val="808080"/>
        </w:rPr>
      </w:pPr>
      <w:r>
        <w:t xml:space="preserve">      </w:t>
      </w:r>
      <w:r w:rsidRPr="00033A6D">
        <w:t>positionInDCI             INTEGER(0..maxSFI-DCI-PayloadSize-1)</w:t>
      </w:r>
      <w:r w:rsidRPr="00033A6D">
        <w:rPr>
          <w:lang w:val="en-US"/>
        </w:rPr>
        <w:t xml:space="preserve"> </w:t>
      </w:r>
      <w:r w:rsidRPr="00777603">
        <w:rPr>
          <w:color w:val="993366"/>
        </w:rPr>
        <w:t>OPTIONAL</w:t>
      </w:r>
      <w:r w:rsidRPr="00325D1F">
        <w:t xml:space="preserve">,   </w:t>
      </w:r>
      <w:r w:rsidRPr="005D6EB4">
        <w:rPr>
          <w:color w:val="808080"/>
        </w:rPr>
        <w:t xml:space="preserve">-- Need </w:t>
      </w:r>
      <w:r>
        <w:rPr>
          <w:color w:val="808080"/>
        </w:rPr>
        <w:t>M</w:t>
      </w:r>
    </w:p>
    <w:p w14:paraId="68A00EA2" w14:textId="77777777" w:rsidR="00250CC2" w:rsidRPr="00033A6D" w:rsidRDefault="00250CC2" w:rsidP="00250CC2">
      <w:pPr>
        <w:pStyle w:val="PL"/>
        <w:rPr>
          <w:lang w:val="en-US"/>
        </w:rPr>
      </w:pPr>
      <w:r>
        <w:rPr>
          <w:lang w:val="en-US"/>
        </w:rPr>
        <w:t xml:space="preserve">      s</w:t>
      </w:r>
      <w:r w:rsidRPr="00033A6D">
        <w:rPr>
          <w:lang w:val="en-US"/>
        </w:rPr>
        <w:t>ubcarrierSpacin</w:t>
      </w:r>
      <w:r>
        <w:rPr>
          <w:lang w:val="en-US"/>
        </w:rPr>
        <w:t xml:space="preserve">g         </w:t>
      </w:r>
      <w:r w:rsidRPr="00325D1F">
        <w:t>SubcarrierSpacing</w:t>
      </w:r>
      <w:r>
        <w:t>,</w:t>
      </w:r>
    </w:p>
    <w:p w14:paraId="5F5E4D64" w14:textId="77777777" w:rsidR="00250CC2" w:rsidRDefault="00250CC2" w:rsidP="00250CC2">
      <w:pPr>
        <w:pStyle w:val="PL"/>
      </w:pPr>
      <w:r>
        <w:t xml:space="preserve">      </w:t>
      </w:r>
      <w:r w:rsidRPr="00033A6D">
        <w:t xml:space="preserve">co-DurationList-r16      </w:t>
      </w:r>
      <w:r>
        <w:t xml:space="preserve"> </w:t>
      </w:r>
      <w:r w:rsidRPr="00033A6D">
        <w:t>SEQUENCE (SIZE(1....</w:t>
      </w:r>
      <w:r w:rsidRPr="00250CC2">
        <w:rPr>
          <w:highlight w:val="yellow"/>
        </w:rPr>
        <w:t>ffsValue)) OF CO-Duration-r16</w:t>
      </w:r>
      <w:r>
        <w:t xml:space="preserve"> </w:t>
      </w:r>
      <w:r>
        <w:rPr>
          <w:rFonts w:hint="eastAsia"/>
          <w:color w:val="000000"/>
        </w:rPr>
        <w:t>-- FFS size upper limit 64</w:t>
      </w:r>
    </w:p>
    <w:p w14:paraId="3FCBEECA" w14:textId="77777777" w:rsidR="00250CC2" w:rsidRPr="00325D1F" w:rsidRDefault="00250CC2" w:rsidP="00250CC2">
      <w:pPr>
        <w:pStyle w:val="PL"/>
      </w:pPr>
      <w:r w:rsidRPr="00325D1F">
        <w:t>}</w:t>
      </w:r>
    </w:p>
    <w:p w14:paraId="0D947FB9" w14:textId="77777777" w:rsidR="00250CC2" w:rsidRDefault="00250CC2" w:rsidP="00250CC2">
      <w:pPr>
        <w:pStyle w:val="PL"/>
      </w:pPr>
    </w:p>
    <w:p w14:paraId="14F48280" w14:textId="77777777" w:rsidR="00250CC2" w:rsidRDefault="00250CC2" w:rsidP="00250CC2">
      <w:pPr>
        <w:pStyle w:val="PL"/>
      </w:pPr>
      <w:r w:rsidRPr="00033A6D">
        <w:t>CO-Duration-r16 ::=    INTEGER (0....</w:t>
      </w:r>
      <w:r w:rsidRPr="00250CC2">
        <w:rPr>
          <w:highlight w:val="yellow"/>
        </w:rPr>
        <w:t xml:space="preserve">ffsValue) </w:t>
      </w:r>
      <w:r w:rsidRPr="00250CC2">
        <w:rPr>
          <w:rFonts w:hint="eastAsia"/>
          <w:color w:val="000000"/>
          <w:highlight w:val="yellow"/>
        </w:rPr>
        <w:t>-- FFS upper limit 560</w:t>
      </w:r>
    </w:p>
    <w:p w14:paraId="78AE108E" w14:textId="48BDFD57" w:rsidR="00250CC2" w:rsidRDefault="00250CC2" w:rsidP="00197D9B">
      <w:pPr>
        <w:pStyle w:val="BodyText"/>
      </w:pPr>
    </w:p>
    <w:p w14:paraId="25145637" w14:textId="7EF7CE26" w:rsidR="00250CC2" w:rsidRDefault="00250CC2" w:rsidP="00250CC2">
      <w:pPr>
        <w:pStyle w:val="BodyText"/>
      </w:pPr>
      <w:r>
        <w:t xml:space="preserve">The first FFS </w:t>
      </w:r>
      <w:r w:rsidR="008A2ACE">
        <w:t>corresponds to</w:t>
      </w:r>
      <w:r>
        <w:t xml:space="preserve"> the number of elements in </w:t>
      </w:r>
      <w:r w:rsidRPr="00033A6D">
        <w:t>co-DurationList-r16</w:t>
      </w:r>
      <w:r>
        <w:t xml:space="preserve">. This list provides the number of channel occupancy durations that the </w:t>
      </w:r>
      <w:proofErr w:type="spellStart"/>
      <w:r>
        <w:t>gNB</w:t>
      </w:r>
      <w:proofErr w:type="spellEnd"/>
      <w:r>
        <w:t xml:space="preserve"> can choose from to dynamically signal the channel occupancy duration to the UE. The value currently listed is 64.</w:t>
      </w:r>
      <w:r w:rsidR="009C4DC1">
        <w:t xml:space="preserve"> Since this value can be configured so that the DCI overhead can be calibrated depending on the deployment scenario and operating environment, provision of up to 64 values provides the needed flexibility. We therefore propose to agree on this value.</w:t>
      </w:r>
    </w:p>
    <w:p w14:paraId="03AC7727" w14:textId="2C1C5516" w:rsidR="009C4DC1" w:rsidRPr="00635527" w:rsidRDefault="009C4DC1" w:rsidP="00635527">
      <w:pPr>
        <w:pStyle w:val="Proposal"/>
      </w:pPr>
      <w:bookmarkStart w:id="2" w:name="_Toc32609244"/>
      <w:r w:rsidRPr="00635527">
        <w:t xml:space="preserve">The size of the list of </w:t>
      </w:r>
      <w:r w:rsidR="00F313BE" w:rsidRPr="00635527">
        <w:t xml:space="preserve">configured </w:t>
      </w:r>
      <w:r w:rsidRPr="00635527">
        <w:t>channel occupancy durations</w:t>
      </w:r>
      <w:r w:rsidR="00F313BE" w:rsidRPr="00635527">
        <w:t xml:space="preserve"> for a serving cell (in the field co-DurationList-r16) can range from 1 to 64 channel occupancy duration values (co-Duration-r16).</w:t>
      </w:r>
      <w:bookmarkEnd w:id="2"/>
    </w:p>
    <w:p w14:paraId="08D20103" w14:textId="0C80820A" w:rsidR="00250CC2" w:rsidRDefault="009C4DC1" w:rsidP="008A2ACE">
      <w:pPr>
        <w:pStyle w:val="BodyText"/>
      </w:pPr>
      <w:r>
        <w:lastRenderedPageBreak/>
        <w:t>The second FFS corresponds to the maximum value that can be signaled as a channel occupancy duration</w:t>
      </w:r>
      <w:r w:rsidR="00F313BE">
        <w:t xml:space="preserve"> (in the field co-Duration-r16)</w:t>
      </w:r>
      <w:r>
        <w:t xml:space="preserve">. The value currently listed is 560 symbols which corresponds to a duration of 20 </w:t>
      </w:r>
      <w:proofErr w:type="spellStart"/>
      <w:r>
        <w:t>ms</w:t>
      </w:r>
      <w:proofErr w:type="spellEnd"/>
      <w:r>
        <w:t xml:space="preserve"> with a sub-carrier spacing of 30 kHz. </w:t>
      </w:r>
      <w:r w:rsidR="00F313BE">
        <w:t xml:space="preserve">Considering that the maximum channel occupancy that is allowed as per the ETSI BRAN harmonized standard is 20 </w:t>
      </w:r>
      <w:proofErr w:type="spellStart"/>
      <w:r w:rsidR="00F313BE">
        <w:t>ms</w:t>
      </w:r>
      <w:proofErr w:type="spellEnd"/>
      <w:r w:rsidR="00F313BE">
        <w:t xml:space="preserve"> (with a paused channel occupancy), </w:t>
      </w:r>
      <w:r w:rsidR="00BE0DD7">
        <w:t>we propose to agree on this value.</w:t>
      </w:r>
    </w:p>
    <w:p w14:paraId="5568D469" w14:textId="2ECC3DB8" w:rsidR="00250CC2" w:rsidRPr="00635527" w:rsidRDefault="00BE0DD7" w:rsidP="00635527">
      <w:pPr>
        <w:pStyle w:val="Proposal"/>
      </w:pPr>
      <w:bookmarkStart w:id="3" w:name="_Toc32609245"/>
      <w:r w:rsidRPr="00635527">
        <w:t>The</w:t>
      </w:r>
      <w:r w:rsidR="009C1AA7" w:rsidRPr="00635527">
        <w:t xml:space="preserve"> value for a single channel occupancy duration value (co-Duration-r16) can range from 0 to</w:t>
      </w:r>
      <w:r w:rsidR="00771D04" w:rsidRPr="00635527">
        <w:t xml:space="preserve"> 20 </w:t>
      </w:r>
      <w:proofErr w:type="spellStart"/>
      <w:r w:rsidR="00771D04" w:rsidRPr="00635527">
        <w:t>ms</w:t>
      </w:r>
      <w:proofErr w:type="spellEnd"/>
      <w:r w:rsidR="00771D04" w:rsidRPr="00635527">
        <w:t xml:space="preserve"> </w:t>
      </w:r>
      <w:r w:rsidR="004D495F" w:rsidRPr="00635527">
        <w:t>with a granularity of one slot</w:t>
      </w:r>
      <w:r w:rsidR="009C1AA7" w:rsidRPr="00635527">
        <w:t>.</w:t>
      </w:r>
      <w:bookmarkEnd w:id="3"/>
      <w:r w:rsidR="009C1AA7" w:rsidRPr="00635527">
        <w:t xml:space="preserve"> </w:t>
      </w:r>
    </w:p>
    <w:p w14:paraId="6334CA0B" w14:textId="48472477" w:rsidR="009C4DC1" w:rsidRDefault="009C4DC1" w:rsidP="00197D9B">
      <w:pPr>
        <w:pStyle w:val="BodyText"/>
      </w:pPr>
    </w:p>
    <w:p w14:paraId="6C4EC8E9" w14:textId="7EA2127A" w:rsidR="009C1AA7" w:rsidRDefault="009C1AA7" w:rsidP="009C1AA7">
      <w:pPr>
        <w:pStyle w:val="Heading3"/>
      </w:pPr>
      <w:r>
        <w:t>2.1.2</w:t>
      </w:r>
      <w:r>
        <w:tab/>
        <w:t xml:space="preserve">Search </w:t>
      </w:r>
      <w:r w:rsidR="00AA0DBF">
        <w:t>Space Switching</w:t>
      </w:r>
    </w:p>
    <w:p w14:paraId="0BC02362" w14:textId="12435582" w:rsidR="00F530C0" w:rsidRDefault="00F530C0" w:rsidP="00197D9B">
      <w:pPr>
        <w:pStyle w:val="BodyText"/>
      </w:pPr>
      <w:r>
        <w:t>The search space switching trigge</w:t>
      </w:r>
      <w:r w:rsidR="001435AB">
        <w:t>r</w:t>
      </w:r>
      <w:r>
        <w:t xml:space="preserve"> in the DCI allows the </w:t>
      </w:r>
      <w:proofErr w:type="spellStart"/>
      <w:r>
        <w:t>gNB</w:t>
      </w:r>
      <w:proofErr w:type="spellEnd"/>
      <w:r>
        <w:t xml:space="preserve"> to signal switching of </w:t>
      </w:r>
      <w:r w:rsidR="00346AFD">
        <w:t xml:space="preserve">search space </w:t>
      </w:r>
      <w:r>
        <w:t xml:space="preserve">monitoring between two groups of search space sets for one or more groups of cells. The cell groups are </w:t>
      </w:r>
      <w:r w:rsidR="00976479">
        <w:t xml:space="preserve">configured with the higher layer parameter, </w:t>
      </w:r>
      <w:r>
        <w:t>searchSpaceSwitchingGroupList-r16</w:t>
      </w:r>
      <w:r w:rsidR="00976479">
        <w:t xml:space="preserve">. </w:t>
      </w:r>
      <w:r w:rsidR="001435AB">
        <w:t>An open issue that needs RAN1 input is the number of cell groups that can be configured for such switching between search space sets.</w:t>
      </w:r>
    </w:p>
    <w:p w14:paraId="2FFC7F39" w14:textId="0050AABA" w:rsidR="001435AB" w:rsidRDefault="00A00883" w:rsidP="00197D9B">
      <w:pPr>
        <w:pStyle w:val="BodyText"/>
      </w:pPr>
      <w:r>
        <w:t xml:space="preserve">Considering that </w:t>
      </w:r>
      <w:r w:rsidR="00346BBD">
        <w:t>search spaces and the group that each search space belongs to can be independently configured for each serving cell, there is no critical need to have cell groups. However, having two cell groups could potentially be useful in cases where the carriers aggregated together are separated significantly in frequency such that the</w:t>
      </w:r>
      <w:r w:rsidR="006D6EB8">
        <w:t xml:space="preserve"> two sets of carriers can be operated completely independently. We therefore propose that the number of cell groups that can be configured be limited to two.</w:t>
      </w:r>
    </w:p>
    <w:p w14:paraId="31B2587E" w14:textId="545CAF3D" w:rsidR="006D6EB8" w:rsidRPr="00635527" w:rsidRDefault="00BE7371" w:rsidP="00635527">
      <w:pPr>
        <w:pStyle w:val="Proposal"/>
      </w:pPr>
      <w:bookmarkStart w:id="4" w:name="_Toc32609246"/>
      <w:r w:rsidRPr="00635527">
        <w:t>The number of</w:t>
      </w:r>
      <w:r w:rsidR="006D6EB8" w:rsidRPr="00635527">
        <w:t xml:space="preserve"> cell groups that can be configured </w:t>
      </w:r>
      <w:r w:rsidRPr="00635527">
        <w:t xml:space="preserve">for search space switching </w:t>
      </w:r>
      <w:r w:rsidR="006D6EB8" w:rsidRPr="00635527">
        <w:t xml:space="preserve">in </w:t>
      </w:r>
      <w:r w:rsidRPr="00635527">
        <w:t xml:space="preserve">higher layer parameter </w:t>
      </w:r>
      <w:r w:rsidR="006D6EB8" w:rsidRPr="00635527">
        <w:t xml:space="preserve">searchSpaceSwitchingGroupList-r16 </w:t>
      </w:r>
      <w:r w:rsidRPr="00635527">
        <w:t>is 1 or 2.</w:t>
      </w:r>
      <w:bookmarkEnd w:id="4"/>
    </w:p>
    <w:p w14:paraId="02BBAAC7" w14:textId="5EAAED5A" w:rsidR="00217B52" w:rsidRDefault="00217B52" w:rsidP="00217B52">
      <w:pPr>
        <w:pStyle w:val="Proposal"/>
        <w:numPr>
          <w:ilvl w:val="0"/>
          <w:numId w:val="0"/>
        </w:numPr>
        <w:ind w:left="1701" w:hanging="1701"/>
        <w:rPr>
          <w:b w:val="0"/>
          <w:bCs w:val="0"/>
        </w:rPr>
      </w:pPr>
    </w:p>
    <w:p w14:paraId="246E5860" w14:textId="7B5FDA66" w:rsidR="001752AF" w:rsidRDefault="00217B52" w:rsidP="00197D9B">
      <w:pPr>
        <w:pStyle w:val="BodyText"/>
      </w:pPr>
      <w:r w:rsidRPr="00217B52">
        <w:t xml:space="preserve">Another open issue </w:t>
      </w:r>
      <w:proofErr w:type="gramStart"/>
      <w:r w:rsidRPr="00217B52">
        <w:t>with</w:t>
      </w:r>
      <w:r w:rsidR="004D14A1">
        <w:t xml:space="preserve"> </w:t>
      </w:r>
      <w:r w:rsidRPr="00217B52">
        <w:t>regard</w:t>
      </w:r>
      <w:r>
        <w:t xml:space="preserve"> </w:t>
      </w:r>
      <w:r w:rsidRPr="00217B52">
        <w:t>to</w:t>
      </w:r>
      <w:proofErr w:type="gramEnd"/>
      <w:r w:rsidRPr="00217B52">
        <w:t xml:space="preserve"> search space switching is the value range for the </w:t>
      </w:r>
      <w:bookmarkStart w:id="5" w:name="_Hlk32528055"/>
      <w:proofErr w:type="spellStart"/>
      <w:r w:rsidRPr="00217B52">
        <w:t>searchSpaceSwitchingTimer</w:t>
      </w:r>
      <w:bookmarkEnd w:id="5"/>
      <w:proofErr w:type="spellEnd"/>
      <w:r>
        <w:t xml:space="preserve">. </w:t>
      </w:r>
      <w:r w:rsidR="00E06B18">
        <w:t xml:space="preserve">After receiving an indication to switch to a search space in DCI format 2_0, if the UE does not receive any other switching indications for the duration set by this timer in units of slots, the UE switches to the default search space. </w:t>
      </w:r>
    </w:p>
    <w:p w14:paraId="36221A88" w14:textId="460BB736" w:rsidR="00F530C0" w:rsidRDefault="00E06B18" w:rsidP="00197D9B">
      <w:pPr>
        <w:pStyle w:val="BodyText"/>
      </w:pPr>
      <w:r>
        <w:t>The</w:t>
      </w:r>
      <w:r w:rsidR="00200945">
        <w:t xml:space="preserve"> value range for this timer depends on the use case for which search space switching is employed. A widely discussed use case was to configure more frequent monitoring (e.g., monitoring in multiple occasions within a slot) as the default and configure a switch to less frequent monitoring (e.g., monitoring on one occasion at the beginning of a slot)</w:t>
      </w:r>
      <w:r w:rsidR="001752AF">
        <w:t xml:space="preserve"> during a channel occupancy. In this case, the main purpose is to ensure very fast access to the channel, but this is not necessarily very power efficient when latency is not of paramount importance and when operating at reasonable loads.</w:t>
      </w:r>
      <w:r w:rsidR="009C2144">
        <w:t xml:space="preserve"> For this use case, being able to set the timer to at least the </w:t>
      </w:r>
      <w:r w:rsidR="00977EF6">
        <w:t xml:space="preserve">maximum </w:t>
      </w:r>
      <w:r w:rsidR="009C2144">
        <w:t>length of a channel occupancy is useful</w:t>
      </w:r>
      <w:r w:rsidR="00083892">
        <w:t xml:space="preserve">. </w:t>
      </w:r>
      <w:r w:rsidR="00A91FFC">
        <w:t xml:space="preserve">The channel occupancy when there are gaps between DL and UL transmissions </w:t>
      </w:r>
      <w:proofErr w:type="gramStart"/>
      <w:r w:rsidR="00A91FFC">
        <w:t>is allowed to</w:t>
      </w:r>
      <w:proofErr w:type="gramEnd"/>
      <w:r w:rsidR="00A91FFC">
        <w:t xml:space="preserve"> extend up to 20 </w:t>
      </w:r>
      <w:proofErr w:type="spellStart"/>
      <w:r w:rsidR="00A91FFC">
        <w:t>ms</w:t>
      </w:r>
      <w:proofErr w:type="spellEnd"/>
      <w:r w:rsidR="00A91FFC">
        <w:t xml:space="preserve"> as per the ETSI BRAN harmonized standard and therefore,</w:t>
      </w:r>
      <w:r w:rsidR="004435A3">
        <w:t xml:space="preserve"> </w:t>
      </w:r>
      <w:r w:rsidR="009A3D0F">
        <w:t xml:space="preserve">the </w:t>
      </w:r>
      <w:r w:rsidR="004435A3">
        <w:t xml:space="preserve">maximum timer value </w:t>
      </w:r>
      <w:r w:rsidR="009A3D0F">
        <w:t xml:space="preserve">should be able to be set to </w:t>
      </w:r>
      <w:r w:rsidR="004435A3">
        <w:t xml:space="preserve">at least </w:t>
      </w:r>
      <w:r w:rsidR="00083892">
        <w:t>2</w:t>
      </w:r>
      <w:r w:rsidR="004435A3">
        <w:t xml:space="preserve">0 </w:t>
      </w:r>
      <w:proofErr w:type="spellStart"/>
      <w:r w:rsidR="004435A3">
        <w:t>ms.</w:t>
      </w:r>
      <w:proofErr w:type="spellEnd"/>
    </w:p>
    <w:p w14:paraId="4CA071C2" w14:textId="22114A09" w:rsidR="001752AF" w:rsidRDefault="009A3D0F" w:rsidP="00197D9B">
      <w:pPr>
        <w:pStyle w:val="BodyText"/>
      </w:pPr>
      <w:r>
        <w:t xml:space="preserve">When operating in low to medium loads where channel access is not an issue and when traffic is </w:t>
      </w:r>
      <w:proofErr w:type="spellStart"/>
      <w:r>
        <w:t>bursty</w:t>
      </w:r>
      <w:proofErr w:type="spellEnd"/>
      <w:r>
        <w:t xml:space="preserve">, it is beneficial to be able to set </w:t>
      </w:r>
      <w:r w:rsidR="007A1B66">
        <w:t xml:space="preserve">the default monitoring periodicity </w:t>
      </w:r>
      <w:r>
        <w:t xml:space="preserve">to </w:t>
      </w:r>
      <w:r w:rsidR="007A1B66">
        <w:t>be less frequent</w:t>
      </w:r>
      <w:r>
        <w:t>,</w:t>
      </w:r>
      <w:r w:rsidR="007A1B66">
        <w:t xml:space="preserve"> with the </w:t>
      </w:r>
      <w:proofErr w:type="spellStart"/>
      <w:r w:rsidR="007A1B66">
        <w:t>gNB</w:t>
      </w:r>
      <w:proofErr w:type="spellEnd"/>
      <w:r w:rsidR="007A1B66">
        <w:t xml:space="preserve"> sometimes signaling a switch to more frequent monitoring</w:t>
      </w:r>
      <w:r w:rsidR="009C2144">
        <w:t xml:space="preserve"> during bursts of traffic. </w:t>
      </w:r>
      <w:r w:rsidR="004435A3">
        <w:t>To cover a wide range of scenarios</w:t>
      </w:r>
      <w:r w:rsidR="00D678D5">
        <w:t xml:space="preserve"> with longer traffic bursts</w:t>
      </w:r>
      <w:r w:rsidR="004435A3">
        <w:t xml:space="preserve">, it would be useful to provide </w:t>
      </w:r>
      <w:r w:rsidR="00D678D5">
        <w:t xml:space="preserve">additional flexibility and let the timer extend to a larger value. A range extending up to 20 </w:t>
      </w:r>
      <w:proofErr w:type="spellStart"/>
      <w:r w:rsidR="00D678D5">
        <w:t>ms</w:t>
      </w:r>
      <w:proofErr w:type="spellEnd"/>
      <w:r w:rsidR="00D678D5">
        <w:t xml:space="preserve"> should be </w:t>
      </w:r>
      <w:proofErr w:type="gramStart"/>
      <w:r w:rsidR="00D678D5">
        <w:t>sufficient</w:t>
      </w:r>
      <w:proofErr w:type="gramEnd"/>
      <w:r>
        <w:t xml:space="preserve"> for this case as well</w:t>
      </w:r>
      <w:r w:rsidR="00D678D5">
        <w:t>. We therefore have the following observation and proposal.</w:t>
      </w:r>
    </w:p>
    <w:p w14:paraId="47A0676D" w14:textId="224FD030" w:rsidR="00D678D5" w:rsidRPr="00635527" w:rsidRDefault="00D678D5" w:rsidP="00635527">
      <w:pPr>
        <w:pStyle w:val="Proposal"/>
      </w:pPr>
      <w:bookmarkStart w:id="6" w:name="_Toc32609247"/>
      <w:r w:rsidRPr="00635527">
        <w:t xml:space="preserve">The </w:t>
      </w:r>
      <w:r w:rsidR="004D14A1" w:rsidRPr="00635527">
        <w:t xml:space="preserve">higher layer parameter </w:t>
      </w:r>
      <w:proofErr w:type="spellStart"/>
      <w:r w:rsidR="004D14A1" w:rsidRPr="00635527">
        <w:t>searchSpaceSwitchingTimer</w:t>
      </w:r>
      <w:proofErr w:type="spellEnd"/>
      <w:r w:rsidR="004D14A1" w:rsidRPr="00635527">
        <w:t xml:space="preserve"> can take values in the range of </w:t>
      </w:r>
      <w:r w:rsidR="00771D04" w:rsidRPr="00635527">
        <w:t xml:space="preserve">1 to 20 </w:t>
      </w:r>
      <w:proofErr w:type="spellStart"/>
      <w:r w:rsidR="00771D04" w:rsidRPr="00635527">
        <w:t>ms</w:t>
      </w:r>
      <w:proofErr w:type="spellEnd"/>
      <w:r w:rsidR="00771D04" w:rsidRPr="00635527">
        <w:t xml:space="preserve"> with a granularity of one slot</w:t>
      </w:r>
      <w:r w:rsidR="004D14A1" w:rsidRPr="00635527">
        <w:t>.</w:t>
      </w:r>
      <w:bookmarkEnd w:id="6"/>
    </w:p>
    <w:p w14:paraId="5D7E4D6E" w14:textId="77777777" w:rsidR="00E06B18" w:rsidRDefault="00E06B18" w:rsidP="00197D9B">
      <w:pPr>
        <w:pStyle w:val="BodyText"/>
      </w:pPr>
    </w:p>
    <w:p w14:paraId="46565F60" w14:textId="7D67D89C" w:rsidR="000E3014" w:rsidRDefault="00593272" w:rsidP="000E3014">
      <w:pPr>
        <w:pStyle w:val="BodyText"/>
      </w:pPr>
      <w:r>
        <w:lastRenderedPageBreak/>
        <w:t>The RRC parameter spreadsheet currently states that whether a Type 3 CSS can be</w:t>
      </w:r>
      <w:r w:rsidR="00E3270B">
        <w:t xml:space="preserve"> included within a cell group for search space switching is FFS. This is not warranted based on the agreements which were very clear that any search spaces not included in any switching group should always be monitored. A CSS was stated as an example of this, but there was </w:t>
      </w:r>
      <w:r w:rsidR="00B36D04">
        <w:t xml:space="preserve">no doubt that a CSS could be included. It should be noted that inclusion of a CSS in both groups is also a possibility that can be used to ensure that the CSS is always monitored. </w:t>
      </w:r>
    </w:p>
    <w:p w14:paraId="6F43B7E1" w14:textId="4F7ED7AD" w:rsidR="00B36D04" w:rsidRPr="00635527" w:rsidRDefault="00791486" w:rsidP="00635527">
      <w:pPr>
        <w:pStyle w:val="Proposal"/>
      </w:pPr>
      <w:bookmarkStart w:id="7" w:name="_Toc32609248"/>
      <w:r>
        <w:t xml:space="preserve">Any type </w:t>
      </w:r>
      <w:r w:rsidR="00B36D04" w:rsidRPr="00635527">
        <w:t xml:space="preserve">CSS </w:t>
      </w:r>
      <w:r>
        <w:t>c</w:t>
      </w:r>
      <w:r w:rsidR="00B36D04" w:rsidRPr="00635527">
        <w:t>an be included in a cell group for search space switching. The corresponding FFS should be removed from the RRC parameter list</w:t>
      </w:r>
      <w:r>
        <w:t>. Inform RAN2 of this decision.</w:t>
      </w:r>
      <w:bookmarkEnd w:id="7"/>
    </w:p>
    <w:p w14:paraId="6D3AC571" w14:textId="7B3DFB0C" w:rsidR="004F46A9" w:rsidRPr="00C465E2" w:rsidRDefault="00B36D04" w:rsidP="00C465E2">
      <w:pPr>
        <w:pStyle w:val="BodyText"/>
      </w:pPr>
      <w:bookmarkStart w:id="8" w:name="_Toc32604929"/>
      <w:r w:rsidRPr="00C465E2">
        <w:t xml:space="preserve">The processing times for switching between groups are currently left as variables P1, P2 in TS38.213. The processing time P1 corresponds to the case where explicit switching is performed and P2 corresponds to the case where the UE performs implicit switching. We note that </w:t>
      </w:r>
      <w:r w:rsidR="004F46A9" w:rsidRPr="00C465E2">
        <w:t xml:space="preserve">Section 5.5 of TS38.214 provides the minimum times that are required for a UE to receive PDCCH on one carrier with one numerology and receive PDSCH scheduled by the PDCCH on a different carrier with a different numerology. These times </w:t>
      </w:r>
      <w:proofErr w:type="gramStart"/>
      <w:r w:rsidR="004F46A9" w:rsidRPr="00C465E2">
        <w:t>take into account</w:t>
      </w:r>
      <w:proofErr w:type="gramEnd"/>
      <w:r w:rsidR="004F46A9" w:rsidRPr="00C465E2">
        <w:t xml:space="preserve"> the processing time of a PDCCH and the time needed in an implementation to receive PDSCH. We assume that preparation to receive PDCCH in another search space on the same carrier should be achievable in a time less than or equal to that taken to receive a PDSCH on another carrier. Therefore, we propose that we can use these same times for the purpose of search space switching and provide a corresponding text proposal.</w:t>
      </w:r>
      <w:bookmarkEnd w:id="8"/>
    </w:p>
    <w:p w14:paraId="50845294" w14:textId="0680031E" w:rsidR="004F46A9" w:rsidRPr="00635527" w:rsidRDefault="004F46A9" w:rsidP="00635527">
      <w:pPr>
        <w:pStyle w:val="Proposal"/>
      </w:pPr>
      <w:bookmarkStart w:id="9" w:name="_Toc32609249"/>
      <w:r w:rsidRPr="00635527">
        <w:t>The processing times in Table 5.5-1 of 38.214 can be reused for the processing times for search space set switching. Specifically, the values in the table can provide the minimum number of symbols required from the end of the PDCCH indicating the search space set switch to the start of the slot where the search space set is switched.</w:t>
      </w:r>
      <w:bookmarkEnd w:id="9"/>
    </w:p>
    <w:p w14:paraId="7858ED67" w14:textId="77777777" w:rsidR="005A4986" w:rsidRDefault="00B36D04" w:rsidP="00B36D04">
      <w:pPr>
        <w:pStyle w:val="Proposal"/>
        <w:numPr>
          <w:ilvl w:val="0"/>
          <w:numId w:val="0"/>
        </w:numPr>
      </w:pPr>
      <w:r>
        <w:t xml:space="preserve"> </w:t>
      </w:r>
    </w:p>
    <w:p w14:paraId="13EDCEEA" w14:textId="7ADFD770" w:rsidR="00B36D04" w:rsidRPr="00791486" w:rsidRDefault="00825864" w:rsidP="00791486">
      <w:pPr>
        <w:pStyle w:val="BodyText"/>
        <w:rPr>
          <w:b/>
          <w:bCs/>
        </w:rPr>
      </w:pPr>
      <w:bookmarkStart w:id="10" w:name="_Toc32604931"/>
      <w:r w:rsidRPr="00791486">
        <w:rPr>
          <w:b/>
          <w:bCs/>
        </w:rPr>
        <w:t>-----  Start T</w:t>
      </w:r>
      <w:r w:rsidR="005A4986" w:rsidRPr="00791486">
        <w:rPr>
          <w:b/>
          <w:bCs/>
        </w:rPr>
        <w:t>P</w:t>
      </w:r>
      <w:r w:rsidRPr="00791486">
        <w:rPr>
          <w:b/>
          <w:bCs/>
        </w:rPr>
        <w:t xml:space="preserve"> for Section 10.4 of 38.213 -----</w:t>
      </w:r>
      <w:bookmarkEnd w:id="10"/>
    </w:p>
    <w:p w14:paraId="51EB6C23" w14:textId="7B0A7400" w:rsidR="00825864" w:rsidRPr="00635527" w:rsidRDefault="00825864" w:rsidP="00635527">
      <w:pPr>
        <w:pStyle w:val="BodyText"/>
        <w:rPr>
          <w:sz w:val="32"/>
          <w:szCs w:val="32"/>
          <w:lang w:val="en-GB"/>
        </w:rPr>
      </w:pPr>
      <w:r w:rsidRPr="00635527">
        <w:rPr>
          <w:sz w:val="32"/>
          <w:szCs w:val="32"/>
          <w:lang w:val="en-GB"/>
        </w:rPr>
        <w:t>10.4</w:t>
      </w:r>
      <w:r w:rsidRPr="00635527">
        <w:rPr>
          <w:sz w:val="32"/>
          <w:szCs w:val="32"/>
          <w:lang w:val="en-GB"/>
        </w:rPr>
        <w:tab/>
        <w:t>Search space set switching</w:t>
      </w:r>
    </w:p>
    <w:p w14:paraId="4FA05348" w14:textId="77777777" w:rsidR="00825864" w:rsidRPr="00825864" w:rsidRDefault="00825864" w:rsidP="00825864">
      <w:pPr>
        <w:spacing w:after="180" w:line="240" w:lineRule="auto"/>
        <w:rPr>
          <w:rFonts w:ascii="Times New Roman" w:eastAsia="SimSun" w:hAnsi="Times New Roman" w:cs="Times New Roman"/>
          <w:sz w:val="20"/>
          <w:szCs w:val="20"/>
          <w:lang w:val="en-GB" w:eastAsia="zh-CN"/>
        </w:rPr>
      </w:pPr>
      <w:r w:rsidRPr="00825864">
        <w:rPr>
          <w:rFonts w:ascii="Times New Roman" w:eastAsia="SimSun" w:hAnsi="Times New Roman" w:cs="Times New Roman"/>
          <w:sz w:val="20"/>
          <w:szCs w:val="20"/>
          <w:lang w:val="en-GB" w:eastAsia="zh-CN"/>
        </w:rPr>
        <w:t xml:space="preserve">A UE can be provided a group index for a respective search space set by </w:t>
      </w:r>
      <w:r w:rsidRPr="00825864">
        <w:rPr>
          <w:rFonts w:ascii="Times New Roman" w:eastAsia="SimSun" w:hAnsi="Times New Roman" w:cs="Times New Roman"/>
          <w:i/>
          <w:sz w:val="20"/>
          <w:szCs w:val="20"/>
          <w:lang w:val="en-GB" w:eastAsia="zh-CN"/>
        </w:rPr>
        <w:t>searchSpaceGroupIdList-r16</w:t>
      </w:r>
      <w:r w:rsidRPr="00825864">
        <w:rPr>
          <w:rFonts w:ascii="Times New Roman" w:eastAsia="SimSun" w:hAnsi="Times New Roman" w:cs="Times New Roman"/>
          <w:sz w:val="20"/>
          <w:szCs w:val="20"/>
          <w:lang w:val="en-GB" w:eastAsia="zh-CN"/>
        </w:rPr>
        <w:t xml:space="preserve"> for PDCCH monitoring on a serving cell indicated by </w:t>
      </w:r>
      <w:r w:rsidRPr="00825864">
        <w:rPr>
          <w:rFonts w:ascii="Times New Roman" w:eastAsia="SimSun" w:hAnsi="Times New Roman" w:cs="Times New Roman"/>
          <w:i/>
          <w:sz w:val="20"/>
          <w:szCs w:val="20"/>
          <w:lang w:val="en-GB" w:eastAsia="zh-CN"/>
        </w:rPr>
        <w:t>searchSpaceSwitchingGroup-r16</w:t>
      </w:r>
      <w:r w:rsidRPr="00825864">
        <w:rPr>
          <w:rFonts w:ascii="Times New Roman" w:eastAsia="SimSun" w:hAnsi="Times New Roman" w:cs="Times New Roman"/>
          <w:sz w:val="20"/>
          <w:szCs w:val="20"/>
          <w:lang w:val="en-GB" w:eastAsia="zh-CN"/>
        </w:rPr>
        <w:t xml:space="preserve">. If the UE is not provided </w:t>
      </w:r>
      <w:r w:rsidRPr="00825864">
        <w:rPr>
          <w:rFonts w:ascii="Times New Roman" w:eastAsia="SimSun" w:hAnsi="Times New Roman" w:cs="Times New Roman"/>
          <w:i/>
          <w:sz w:val="20"/>
          <w:szCs w:val="20"/>
          <w:lang w:val="en-GB" w:eastAsia="zh-CN"/>
        </w:rPr>
        <w:t>searchSpaceGroupIdList-r16</w:t>
      </w:r>
      <w:r w:rsidRPr="00825864">
        <w:rPr>
          <w:rFonts w:ascii="Times New Roman" w:eastAsia="SimSun" w:hAnsi="Times New Roman" w:cs="Times New Roman"/>
          <w:sz w:val="20"/>
          <w:szCs w:val="20"/>
          <w:lang w:val="en-GB" w:eastAsia="zh-CN"/>
        </w:rPr>
        <w:t xml:space="preserve"> for a search space set, or for PDCCH monitoring on a serving cell that is not indicated by </w:t>
      </w:r>
      <w:r w:rsidRPr="00825864">
        <w:rPr>
          <w:rFonts w:ascii="Times New Roman" w:eastAsia="SimSun" w:hAnsi="Times New Roman" w:cs="Times New Roman"/>
          <w:i/>
          <w:sz w:val="20"/>
          <w:szCs w:val="20"/>
          <w:lang w:val="en-GB" w:eastAsia="zh-CN"/>
        </w:rPr>
        <w:t>searchSpaceSwitchingGroup-r16</w:t>
      </w:r>
      <w:r w:rsidRPr="00825864">
        <w:rPr>
          <w:rFonts w:ascii="Times New Roman" w:eastAsia="SimSun" w:hAnsi="Times New Roman" w:cs="Times New Roman"/>
          <w:sz w:val="20"/>
          <w:szCs w:val="20"/>
          <w:lang w:val="en-GB" w:eastAsia="zh-CN"/>
        </w:rPr>
        <w:t>, the following procedures are not applicable for PDCCH monitoring according to the search space set.</w:t>
      </w:r>
    </w:p>
    <w:p w14:paraId="54A7D675" w14:textId="77777777" w:rsidR="00825864" w:rsidRPr="00825864" w:rsidRDefault="00825864" w:rsidP="00825864">
      <w:pPr>
        <w:spacing w:after="180" w:line="240" w:lineRule="auto"/>
        <w:rPr>
          <w:rFonts w:ascii="Times New Roman" w:eastAsia="SimSun" w:hAnsi="Times New Roman" w:cs="Times New Roman"/>
          <w:sz w:val="20"/>
          <w:szCs w:val="20"/>
          <w:lang w:val="en-GB" w:eastAsia="zh-CN"/>
        </w:rPr>
      </w:pPr>
      <w:r w:rsidRPr="00825864">
        <w:rPr>
          <w:rFonts w:ascii="Times New Roman" w:eastAsia="SimSun" w:hAnsi="Times New Roman" w:cs="Times New Roman"/>
          <w:sz w:val="20"/>
          <w:szCs w:val="20"/>
          <w:lang w:val="en-GB" w:eastAsia="zh-CN"/>
        </w:rPr>
        <w:t xml:space="preserve">A UE can be provided, by </w:t>
      </w:r>
      <w:r w:rsidRPr="00825864">
        <w:rPr>
          <w:rFonts w:ascii="Times New Roman" w:eastAsia="SimSun" w:hAnsi="Times New Roman" w:cs="Times New Roman"/>
          <w:i/>
          <w:sz w:val="20"/>
          <w:szCs w:val="20"/>
          <w:lang w:val="en-GB" w:eastAsia="zh-CN"/>
        </w:rPr>
        <w:t>searchSpaceSwitchingTimer-r16</w:t>
      </w:r>
      <w:r w:rsidRPr="00825864">
        <w:rPr>
          <w:rFonts w:ascii="Times New Roman" w:eastAsia="SimSun" w:hAnsi="Times New Roman" w:cs="Times New Roman"/>
          <w:sz w:val="20"/>
          <w:szCs w:val="20"/>
          <w:lang w:val="en-GB" w:eastAsia="zh-CN"/>
        </w:rPr>
        <w:t>, a timer value. The UE decrements the timer value by one after each slot in the active DL BWP of the serving cell where the UE monitors PDCCH for detection of DCI format 2_0.</w:t>
      </w:r>
    </w:p>
    <w:p w14:paraId="45DB3686" w14:textId="77777777" w:rsidR="00825864" w:rsidRPr="00825864" w:rsidRDefault="00825864" w:rsidP="00825864">
      <w:pPr>
        <w:spacing w:after="180" w:line="240" w:lineRule="auto"/>
        <w:rPr>
          <w:rFonts w:ascii="Times New Roman" w:eastAsia="Times New Roman" w:hAnsi="Times New Roman" w:cs="Times New Roman"/>
          <w:sz w:val="20"/>
          <w:szCs w:val="20"/>
          <w:lang w:val="en-GB"/>
        </w:rPr>
      </w:pPr>
      <w:r w:rsidRPr="00825864">
        <w:rPr>
          <w:rFonts w:ascii="Times New Roman" w:eastAsia="SimSun" w:hAnsi="Times New Roman" w:cs="Times New Roman"/>
          <w:sz w:val="20"/>
          <w:szCs w:val="20"/>
          <w:lang w:val="en-GB" w:eastAsia="zh-CN"/>
        </w:rPr>
        <w:t>If a UE is provided</w:t>
      </w:r>
      <w:r w:rsidRPr="00825864">
        <w:rPr>
          <w:rFonts w:ascii="Times New Roman" w:eastAsia="Times New Roman" w:hAnsi="Times New Roman" w:cs="Times New Roman"/>
          <w:sz w:val="20"/>
          <w:szCs w:val="20"/>
          <w:lang w:val="en-GB"/>
        </w:rPr>
        <w:t xml:space="preserve"> by </w:t>
      </w:r>
      <w:r w:rsidRPr="00825864">
        <w:rPr>
          <w:rFonts w:ascii="Times New Roman" w:eastAsia="Times New Roman" w:hAnsi="Times New Roman" w:cs="Times New Roman"/>
          <w:i/>
          <w:iCs/>
          <w:sz w:val="20"/>
          <w:szCs w:val="20"/>
          <w:lang w:val="en-GB"/>
        </w:rPr>
        <w:t>SearchSpaceSwitchTrigger-r16</w:t>
      </w:r>
      <w:r w:rsidRPr="00825864">
        <w:rPr>
          <w:rFonts w:ascii="Times New Roman" w:eastAsia="Times New Roman" w:hAnsi="Times New Roman" w:cs="Times New Roman"/>
          <w:iCs/>
          <w:sz w:val="20"/>
          <w:szCs w:val="20"/>
          <w:lang w:val="en-GB"/>
        </w:rPr>
        <w:t xml:space="preserve"> a location of a search space set switching field for a serving cell in a DCI format 2_0</w:t>
      </w:r>
      <w:r w:rsidRPr="00825864">
        <w:rPr>
          <w:rFonts w:ascii="Times New Roman" w:eastAsia="Times New Roman" w:hAnsi="Times New Roman" w:cs="Times New Roman"/>
          <w:sz w:val="20"/>
          <w:szCs w:val="20"/>
          <w:lang w:val="en-GB"/>
        </w:rPr>
        <w:t>, as described in Clause 11.1.1, and detects DCI format 2_0 in a slot</w:t>
      </w:r>
    </w:p>
    <w:p w14:paraId="05C77B5D" w14:textId="106E056D" w:rsidR="00825864" w:rsidRPr="00825864" w:rsidRDefault="00825864" w:rsidP="00825864">
      <w:pPr>
        <w:spacing w:after="180" w:line="240" w:lineRule="auto"/>
        <w:ind w:left="568" w:hanging="284"/>
        <w:rPr>
          <w:rFonts w:ascii="Times New Roman" w:eastAsia="Times New Roman" w:hAnsi="Times New Roman" w:cs="Times New Roman"/>
          <w:sz w:val="20"/>
          <w:szCs w:val="20"/>
          <w:lang w:val="x-none"/>
        </w:rPr>
      </w:pPr>
      <w:r w:rsidRPr="00825864">
        <w:rPr>
          <w:rFonts w:ascii="Times New Roman" w:eastAsia="Times New Roman" w:hAnsi="Times New Roman" w:cs="Times New Roman"/>
          <w:sz w:val="20"/>
          <w:szCs w:val="20"/>
          <w:lang w:val="x-none"/>
        </w:rPr>
        <w:t>-</w:t>
      </w:r>
      <w:r w:rsidRPr="00825864">
        <w:rPr>
          <w:rFonts w:ascii="Times New Roman" w:eastAsia="Times New Roman" w:hAnsi="Times New Roman" w:cs="Times New Roman"/>
          <w:sz w:val="20"/>
          <w:szCs w:val="20"/>
          <w:lang w:val="x-none"/>
        </w:rPr>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 the </w:t>
      </w:r>
      <w:r w:rsidR="005D3831" w:rsidRPr="00791486">
        <w:rPr>
          <w:rFonts w:ascii="Times New Roman" w:eastAsia="Times New Roman" w:hAnsi="Times New Roman" w:cs="Times New Roman"/>
          <w:color w:val="FF0000"/>
          <w:sz w:val="20"/>
          <w:szCs w:val="20"/>
        </w:rPr>
        <w:t>end of the PDCCH carrying the DCI format 2_0</w:t>
      </w:r>
      <w:r w:rsidRPr="00791486">
        <w:rPr>
          <w:rFonts w:ascii="Times New Roman" w:eastAsia="Times New Roman" w:hAnsi="Times New Roman" w:cs="Times New Roman"/>
          <w:strike/>
          <w:color w:val="FF0000"/>
          <w:sz w:val="20"/>
          <w:szCs w:val="20"/>
          <w:lang w:val="x-none"/>
        </w:rPr>
        <w:t>slot</w:t>
      </w:r>
      <w:r w:rsidRPr="00791486">
        <w:rPr>
          <w:rFonts w:ascii="Times New Roman" w:eastAsia="Times New Roman" w:hAnsi="Times New Roman" w:cs="Times New Roman"/>
          <w:color w:val="FF0000"/>
          <w:sz w:val="20"/>
          <w:szCs w:val="20"/>
          <w:lang w:val="x-none"/>
        </w:rPr>
        <w:t xml:space="preserve"> </w:t>
      </w:r>
      <w:r w:rsidRPr="00825864">
        <w:rPr>
          <w:rFonts w:ascii="Times New Roman" w:eastAsia="Times New Roman" w:hAnsi="Times New Roman" w:cs="Times New Roman"/>
          <w:sz w:val="20"/>
          <w:szCs w:val="20"/>
          <w:lang w:val="x-none"/>
        </w:rPr>
        <w:t>in the active DL BWP of the serving cell, if a value of the search space set switching field is 0</w:t>
      </w:r>
    </w:p>
    <w:p w14:paraId="50D4599A" w14:textId="2F9F2C26" w:rsidR="00825864" w:rsidRPr="00825864" w:rsidRDefault="00825864" w:rsidP="00825864">
      <w:pPr>
        <w:spacing w:after="180" w:line="240" w:lineRule="auto"/>
        <w:ind w:left="568" w:hanging="284"/>
        <w:rPr>
          <w:rFonts w:ascii="Times New Roman" w:eastAsia="Times New Roman" w:hAnsi="Times New Roman" w:cs="Times New Roman"/>
          <w:sz w:val="20"/>
          <w:szCs w:val="20"/>
          <w:lang w:val="x-none"/>
        </w:rPr>
      </w:pPr>
      <w:r w:rsidRPr="00825864">
        <w:rPr>
          <w:rFonts w:ascii="Times New Roman" w:eastAsia="Times New Roman" w:hAnsi="Times New Roman" w:cs="Times New Roman"/>
          <w:sz w:val="20"/>
          <w:szCs w:val="20"/>
          <w:lang w:val="x-none"/>
        </w:rPr>
        <w:t>-</w:t>
      </w:r>
      <w:r w:rsidRPr="00825864">
        <w:rPr>
          <w:rFonts w:ascii="Times New Roman" w:eastAsia="Times New Roman" w:hAnsi="Times New Roman" w:cs="Times New Roman"/>
          <w:sz w:val="20"/>
          <w:szCs w:val="20"/>
          <w:lang w:val="x-none"/>
        </w:rP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 the </w:t>
      </w:r>
      <w:r w:rsidR="005D3831" w:rsidRPr="00791486">
        <w:rPr>
          <w:rFonts w:ascii="Times New Roman" w:eastAsia="Times New Roman" w:hAnsi="Times New Roman" w:cs="Times New Roman"/>
          <w:color w:val="FF0000"/>
          <w:sz w:val="20"/>
          <w:szCs w:val="20"/>
        </w:rPr>
        <w:t>end of the PDCCH carrying the DCI format 2_0</w:t>
      </w:r>
      <w:r w:rsidRPr="00791486">
        <w:rPr>
          <w:rFonts w:ascii="Times New Roman" w:eastAsia="Times New Roman" w:hAnsi="Times New Roman" w:cs="Times New Roman"/>
          <w:strike/>
          <w:color w:val="FF0000"/>
          <w:sz w:val="20"/>
          <w:szCs w:val="20"/>
          <w:lang w:val="x-none"/>
        </w:rPr>
        <w:t>slot</w:t>
      </w:r>
      <w:r w:rsidRPr="00825864">
        <w:rPr>
          <w:rFonts w:ascii="Times New Roman" w:eastAsia="Times New Roman" w:hAnsi="Times New Roman" w:cs="Times New Roman"/>
          <w:sz w:val="20"/>
          <w:szCs w:val="20"/>
          <w:lang w:val="x-none"/>
        </w:rPr>
        <w:t xml:space="preserve"> in the active DL BWP of the serving cell, and the UE </w:t>
      </w:r>
      <w:r w:rsidRPr="00825864">
        <w:rPr>
          <w:rFonts w:ascii="Times New Roman" w:eastAsia="SimSun" w:hAnsi="Times New Roman" w:cs="Times New Roman"/>
          <w:sz w:val="20"/>
          <w:szCs w:val="20"/>
          <w:lang w:val="x-none" w:eastAsia="zh-CN"/>
        </w:rPr>
        <w:t xml:space="preserve">sets the timer value to the value provided by </w:t>
      </w:r>
      <w:r w:rsidRPr="00825864">
        <w:rPr>
          <w:rFonts w:ascii="Times New Roman" w:eastAsia="SimSun" w:hAnsi="Times New Roman" w:cs="Times New Roman"/>
          <w:i/>
          <w:sz w:val="20"/>
          <w:szCs w:val="20"/>
          <w:lang w:val="x-none" w:eastAsia="zh-CN"/>
        </w:rPr>
        <w:t>searchSpaceSwitchingTimer-r16</w:t>
      </w:r>
      <w:r w:rsidRPr="00825864">
        <w:rPr>
          <w:rFonts w:ascii="Times New Roman" w:eastAsia="SimSun" w:hAnsi="Times New Roman" w:cs="Times New Roman"/>
          <w:sz w:val="20"/>
          <w:szCs w:val="20"/>
          <w:lang w:val="x-none" w:eastAsia="zh-CN"/>
        </w:rPr>
        <w:t>,</w:t>
      </w:r>
      <w:r w:rsidRPr="00825864">
        <w:rPr>
          <w:rFonts w:ascii="Times New Roman" w:eastAsia="Times New Roman" w:hAnsi="Times New Roman" w:cs="Times New Roman"/>
          <w:sz w:val="20"/>
          <w:szCs w:val="20"/>
          <w:lang w:val="x-none"/>
        </w:rPr>
        <w:t xml:space="preserve"> if a value of the search space set switching field is 1</w:t>
      </w:r>
    </w:p>
    <w:p w14:paraId="7D7E5956" w14:textId="77777777" w:rsidR="00825864" w:rsidRPr="00825864" w:rsidRDefault="00825864" w:rsidP="00825864">
      <w:pPr>
        <w:spacing w:after="180" w:line="240" w:lineRule="auto"/>
        <w:ind w:left="568" w:hanging="284"/>
        <w:rPr>
          <w:rFonts w:ascii="Times New Roman" w:eastAsia="Times New Roman" w:hAnsi="Times New Roman" w:cs="Times New Roman"/>
          <w:sz w:val="20"/>
          <w:szCs w:val="20"/>
          <w:lang w:val="x-none"/>
        </w:rPr>
      </w:pPr>
      <w:r w:rsidRPr="00825864">
        <w:rPr>
          <w:rFonts w:ascii="Times New Roman" w:eastAsia="Times New Roman" w:hAnsi="Times New Roman" w:cs="Times New Roman"/>
          <w:sz w:val="20"/>
          <w:szCs w:val="20"/>
          <w:lang w:val="x-none"/>
        </w:rPr>
        <w:lastRenderedPageBreak/>
        <w:t>-</w:t>
      </w:r>
      <w:r w:rsidRPr="00825864">
        <w:rPr>
          <w:rFonts w:ascii="Times New Roman" w:eastAsia="Times New Roman" w:hAnsi="Times New Roman" w:cs="Times New Roman"/>
          <w:sz w:val="20"/>
          <w:szCs w:val="20"/>
          <w:lang w:val="x-none"/>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slot of a remaining channel occupancy duration for the serving cell that is indicated by DCI format 2_0</w:t>
      </w:r>
    </w:p>
    <w:p w14:paraId="733623C3" w14:textId="77777777" w:rsidR="00825864" w:rsidRPr="00825864" w:rsidRDefault="00825864" w:rsidP="00825864">
      <w:pPr>
        <w:spacing w:after="180" w:line="240" w:lineRule="auto"/>
        <w:rPr>
          <w:rFonts w:ascii="Times New Roman" w:eastAsia="Times New Roman" w:hAnsi="Times New Roman" w:cs="Times New Roman"/>
          <w:sz w:val="20"/>
          <w:szCs w:val="20"/>
          <w:lang w:val="en-GB"/>
        </w:rPr>
      </w:pPr>
      <w:r w:rsidRPr="00825864">
        <w:rPr>
          <w:rFonts w:ascii="Times New Roman" w:eastAsia="SimSun" w:hAnsi="Times New Roman" w:cs="Times New Roman"/>
          <w:sz w:val="20"/>
          <w:szCs w:val="20"/>
          <w:lang w:val="en-GB" w:eastAsia="zh-CN"/>
        </w:rPr>
        <w:t>If a UE is not provided</w:t>
      </w:r>
      <w:r w:rsidRPr="00825864">
        <w:rPr>
          <w:rFonts w:ascii="Times New Roman" w:eastAsia="Times New Roman" w:hAnsi="Times New Roman" w:cs="Times New Roman"/>
          <w:sz w:val="20"/>
          <w:szCs w:val="20"/>
          <w:lang w:val="en-GB"/>
        </w:rPr>
        <w:t xml:space="preserve"> </w:t>
      </w:r>
      <w:r w:rsidRPr="00825864">
        <w:rPr>
          <w:rFonts w:ascii="Times New Roman" w:eastAsia="Times New Roman" w:hAnsi="Times New Roman" w:cs="Times New Roman"/>
          <w:i/>
          <w:iCs/>
          <w:sz w:val="20"/>
          <w:szCs w:val="20"/>
          <w:lang w:val="en-GB"/>
        </w:rPr>
        <w:t>SearchSpaceSwitchTrigger-r16</w:t>
      </w:r>
      <w:r w:rsidRPr="00825864">
        <w:rPr>
          <w:rFonts w:ascii="Times New Roman" w:eastAsia="Times New Roman" w:hAnsi="Times New Roman" w:cs="Times New Roman"/>
          <w:iCs/>
          <w:sz w:val="20"/>
          <w:szCs w:val="20"/>
          <w:lang w:val="en-GB"/>
        </w:rPr>
        <w:t xml:space="preserve"> for a serving cell</w:t>
      </w:r>
      <w:r w:rsidRPr="00825864">
        <w:rPr>
          <w:rFonts w:ascii="Times New Roman" w:eastAsia="Times New Roman" w:hAnsi="Times New Roman" w:cs="Times New Roman"/>
          <w:sz w:val="20"/>
          <w:szCs w:val="20"/>
          <w:lang w:val="en-GB"/>
        </w:rPr>
        <w:t>,</w:t>
      </w:r>
    </w:p>
    <w:p w14:paraId="7F06E2DA" w14:textId="5B9B9597" w:rsidR="00825864" w:rsidRPr="00825864" w:rsidRDefault="00825864" w:rsidP="00825864">
      <w:pPr>
        <w:spacing w:after="180" w:line="240" w:lineRule="auto"/>
        <w:ind w:left="568" w:hanging="284"/>
        <w:rPr>
          <w:rFonts w:ascii="Times New Roman" w:eastAsia="Times New Roman" w:hAnsi="Times New Roman" w:cs="Times New Roman"/>
          <w:sz w:val="20"/>
          <w:szCs w:val="20"/>
          <w:lang w:val="x-none"/>
        </w:rPr>
      </w:pPr>
      <w:r w:rsidRPr="00825864">
        <w:rPr>
          <w:rFonts w:ascii="Times New Roman" w:eastAsia="Times New Roman" w:hAnsi="Times New Roman" w:cs="Times New Roman"/>
          <w:sz w:val="20"/>
          <w:szCs w:val="20"/>
          <w:lang w:val="x-none"/>
        </w:rPr>
        <w:t>-</w:t>
      </w:r>
      <w:r w:rsidRPr="00825864">
        <w:rPr>
          <w:rFonts w:ascii="Times New Roman" w:eastAsia="Times New Roman" w:hAnsi="Times New Roman" w:cs="Times New Roman"/>
          <w:sz w:val="20"/>
          <w:szCs w:val="20"/>
          <w:lang w:val="x-none"/>
        </w:rPr>
        <w:tab/>
        <w:t>if the UE detects a DCI format by monitoring PDCCH according to a search space set with group index 0 in a slot, the UE starts monitoring PDCCH according to search space sets with group index 1, and stops monitoring PDCCH according to search space sets with group index 0, on the serving cell at a first slot that is at least P</w:t>
      </w:r>
      <w:r w:rsidR="005A4986" w:rsidRPr="00791486">
        <w:rPr>
          <w:rFonts w:ascii="Times New Roman" w:eastAsia="Times New Roman" w:hAnsi="Times New Roman" w:cs="Times New Roman"/>
          <w:color w:val="FF0000"/>
          <w:sz w:val="20"/>
          <w:szCs w:val="20"/>
        </w:rPr>
        <w:t>1</w:t>
      </w:r>
      <w:r w:rsidRPr="00791486">
        <w:rPr>
          <w:rFonts w:ascii="Times New Roman" w:eastAsia="Times New Roman" w:hAnsi="Times New Roman" w:cs="Times New Roman"/>
          <w:strike/>
          <w:color w:val="FF0000"/>
          <w:sz w:val="20"/>
          <w:szCs w:val="20"/>
          <w:lang w:val="x-none"/>
        </w:rPr>
        <w:t>2</w:t>
      </w:r>
      <w:r w:rsidRPr="00791486">
        <w:rPr>
          <w:rFonts w:ascii="Times New Roman" w:eastAsia="Times New Roman" w:hAnsi="Times New Roman" w:cs="Times New Roman"/>
          <w:color w:val="FF0000"/>
          <w:sz w:val="20"/>
          <w:szCs w:val="20"/>
          <w:lang w:val="x-none"/>
        </w:rPr>
        <w:t xml:space="preserve"> </w:t>
      </w:r>
      <w:r w:rsidRPr="00825864">
        <w:rPr>
          <w:rFonts w:ascii="Times New Roman" w:eastAsia="Times New Roman" w:hAnsi="Times New Roman" w:cs="Times New Roman"/>
          <w:sz w:val="20"/>
          <w:szCs w:val="20"/>
          <w:lang w:val="x-none"/>
        </w:rPr>
        <w:t xml:space="preserve">symbols after the </w:t>
      </w:r>
      <w:r w:rsidR="00497569" w:rsidRPr="00791486">
        <w:rPr>
          <w:rFonts w:ascii="Times New Roman" w:eastAsia="Times New Roman" w:hAnsi="Times New Roman" w:cs="Times New Roman"/>
          <w:color w:val="FF0000"/>
          <w:sz w:val="20"/>
          <w:szCs w:val="20"/>
        </w:rPr>
        <w:t>end of the PDCCH carrying the DCI format</w:t>
      </w:r>
      <w:r w:rsidRPr="00791486">
        <w:rPr>
          <w:rFonts w:ascii="Times New Roman" w:eastAsia="Times New Roman" w:hAnsi="Times New Roman" w:cs="Times New Roman"/>
          <w:strike/>
          <w:color w:val="FF0000"/>
          <w:sz w:val="20"/>
          <w:szCs w:val="20"/>
          <w:lang w:val="x-none"/>
        </w:rPr>
        <w:t>slot</w:t>
      </w:r>
      <w:r w:rsidRPr="00791486">
        <w:rPr>
          <w:rFonts w:ascii="Times New Roman" w:eastAsia="Times New Roman" w:hAnsi="Times New Roman" w:cs="Times New Roman"/>
          <w:color w:val="FF0000"/>
          <w:sz w:val="20"/>
          <w:szCs w:val="20"/>
          <w:lang w:val="x-none"/>
        </w:rPr>
        <w:t xml:space="preserve"> </w:t>
      </w:r>
      <w:r w:rsidRPr="00825864">
        <w:rPr>
          <w:rFonts w:ascii="Times New Roman" w:eastAsia="Times New Roman" w:hAnsi="Times New Roman" w:cs="Times New Roman"/>
          <w:sz w:val="20"/>
          <w:szCs w:val="20"/>
          <w:lang w:val="x-none"/>
        </w:rPr>
        <w:t>in the active DL BWP of a serving cell</w:t>
      </w:r>
      <w:r w:rsidR="00E4138E" w:rsidRPr="00791486">
        <w:rPr>
          <w:rFonts w:ascii="Times New Roman" w:eastAsia="Times New Roman" w:hAnsi="Times New Roman" w:cs="Times New Roman"/>
          <w:color w:val="FF0000"/>
          <w:sz w:val="20"/>
          <w:szCs w:val="20"/>
        </w:rPr>
        <w:t>.</w:t>
      </w:r>
      <w:r w:rsidRPr="00791486">
        <w:rPr>
          <w:rFonts w:ascii="Times New Roman" w:eastAsia="Times New Roman" w:hAnsi="Times New Roman" w:cs="Times New Roman"/>
          <w:strike/>
          <w:color w:val="FF0000"/>
          <w:sz w:val="20"/>
          <w:szCs w:val="20"/>
          <w:lang w:val="x-none"/>
        </w:rPr>
        <w:t>,</w:t>
      </w:r>
      <w:r w:rsidRPr="00791486">
        <w:rPr>
          <w:rFonts w:ascii="Times New Roman" w:eastAsia="Times New Roman" w:hAnsi="Times New Roman" w:cs="Times New Roman"/>
          <w:color w:val="FF0000"/>
          <w:sz w:val="20"/>
          <w:szCs w:val="20"/>
          <w:lang w:val="x-none"/>
        </w:rPr>
        <w:t xml:space="preserve"> </w:t>
      </w:r>
      <w:r w:rsidR="00E4138E" w:rsidRPr="00791486">
        <w:rPr>
          <w:rFonts w:ascii="Times New Roman" w:eastAsia="Times New Roman" w:hAnsi="Times New Roman" w:cs="Times New Roman"/>
          <w:color w:val="FF0000"/>
          <w:sz w:val="20"/>
          <w:szCs w:val="20"/>
        </w:rPr>
        <w:t>T</w:t>
      </w:r>
      <w:r w:rsidRPr="00791486">
        <w:rPr>
          <w:rFonts w:ascii="Times New Roman" w:eastAsia="Times New Roman" w:hAnsi="Times New Roman" w:cs="Times New Roman"/>
          <w:strike/>
          <w:color w:val="FF0000"/>
          <w:sz w:val="20"/>
          <w:szCs w:val="20"/>
          <w:lang w:val="x-none"/>
        </w:rPr>
        <w:t>t</w:t>
      </w:r>
      <w:r w:rsidRPr="00825864">
        <w:rPr>
          <w:rFonts w:ascii="Times New Roman" w:eastAsia="Times New Roman" w:hAnsi="Times New Roman" w:cs="Times New Roman"/>
          <w:sz w:val="20"/>
          <w:szCs w:val="20"/>
          <w:lang w:val="x-none"/>
        </w:rPr>
        <w:t xml:space="preserve">he UE sets the timer value to the value provided by </w:t>
      </w:r>
      <w:r w:rsidRPr="00825864">
        <w:rPr>
          <w:rFonts w:ascii="Times New Roman" w:eastAsia="SimSun" w:hAnsi="Times New Roman" w:cs="Times New Roman"/>
          <w:i/>
          <w:sz w:val="20"/>
          <w:szCs w:val="20"/>
          <w:lang w:val="x-none" w:eastAsia="zh-CN"/>
        </w:rPr>
        <w:t>searchSpaceSwitchingTimer-r16</w:t>
      </w:r>
      <w:r w:rsidRPr="00825864">
        <w:rPr>
          <w:rFonts w:ascii="Times New Roman" w:eastAsia="SimSun" w:hAnsi="Times New Roman" w:cs="Times New Roman"/>
          <w:sz w:val="20"/>
          <w:szCs w:val="20"/>
          <w:lang w:val="x-none" w:eastAsia="zh-CN"/>
        </w:rPr>
        <w:t xml:space="preserve"> if the UE detects a DCI format </w:t>
      </w:r>
      <w:r w:rsidRPr="00825864">
        <w:rPr>
          <w:rFonts w:ascii="Times New Roman" w:eastAsia="Times New Roman" w:hAnsi="Times New Roman" w:cs="Times New Roman"/>
          <w:sz w:val="20"/>
          <w:szCs w:val="20"/>
          <w:lang w:val="x-none"/>
        </w:rPr>
        <w:t>by monitoring PDCCH in any search space set</w:t>
      </w:r>
    </w:p>
    <w:p w14:paraId="4639BE81" w14:textId="7AC69AA4" w:rsidR="00825864" w:rsidRPr="00825864" w:rsidRDefault="00825864" w:rsidP="00825864">
      <w:pPr>
        <w:spacing w:after="180" w:line="240" w:lineRule="auto"/>
        <w:ind w:left="568" w:hanging="284"/>
        <w:rPr>
          <w:rFonts w:ascii="Times New Roman" w:eastAsia="Times New Roman" w:hAnsi="Times New Roman" w:cs="Times New Roman"/>
          <w:sz w:val="20"/>
          <w:szCs w:val="20"/>
          <w:lang w:val="x-none"/>
        </w:rPr>
      </w:pPr>
      <w:r w:rsidRPr="00825864">
        <w:rPr>
          <w:rFonts w:ascii="Times New Roman" w:eastAsia="Times New Roman" w:hAnsi="Times New Roman" w:cs="Times New Roman"/>
          <w:sz w:val="20"/>
          <w:szCs w:val="20"/>
          <w:lang w:val="x-none"/>
        </w:rPr>
        <w:t>-</w:t>
      </w:r>
      <w:r w:rsidRPr="00825864">
        <w:rPr>
          <w:rFonts w:ascii="Times New Roman" w:eastAsia="Times New Roman" w:hAnsi="Times New Roman" w:cs="Times New Roman"/>
          <w:sz w:val="20"/>
          <w:szCs w:val="20"/>
          <w:lang w:val="x-none"/>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w:t>
      </w:r>
      <w:r w:rsidR="005A4986" w:rsidRPr="00791486">
        <w:rPr>
          <w:rFonts w:ascii="Times New Roman" w:eastAsia="Times New Roman" w:hAnsi="Times New Roman" w:cs="Times New Roman"/>
          <w:color w:val="FF0000"/>
          <w:sz w:val="20"/>
          <w:szCs w:val="20"/>
        </w:rPr>
        <w:t>1</w:t>
      </w:r>
      <w:r w:rsidRPr="00791486">
        <w:rPr>
          <w:rFonts w:ascii="Times New Roman" w:eastAsia="Times New Roman" w:hAnsi="Times New Roman" w:cs="Times New Roman"/>
          <w:strike/>
          <w:color w:val="FF0000"/>
          <w:sz w:val="20"/>
          <w:szCs w:val="20"/>
          <w:lang w:val="x-none"/>
        </w:rPr>
        <w:t>2</w:t>
      </w:r>
      <w:r w:rsidRPr="00825864">
        <w:rPr>
          <w:rFonts w:ascii="Times New Roman" w:eastAsia="Times New Roman" w:hAnsi="Times New Roman" w:cs="Times New Roman"/>
          <w:sz w:val="20"/>
          <w:szCs w:val="20"/>
          <w:lang w:val="x-none"/>
        </w:rPr>
        <w:t xml:space="preserve"> symbols after a slot where the timer expires or, if the UE is provided a search space set to monitor PDCCH for detecting a DCI format 2_0, after a last slot of a remaining channel occupancy duration for the serving cell that is indicated by DCI format 2_0</w:t>
      </w:r>
    </w:p>
    <w:p w14:paraId="4A4064A6" w14:textId="547DC08B" w:rsidR="00825864" w:rsidRPr="00791486" w:rsidRDefault="00825864" w:rsidP="00825864">
      <w:pPr>
        <w:pStyle w:val="TH"/>
        <w:rPr>
          <w:color w:val="FF0000"/>
        </w:rPr>
      </w:pPr>
      <w:r w:rsidRPr="00791486">
        <w:rPr>
          <w:color w:val="FF0000"/>
        </w:rPr>
        <w:t xml:space="preserve">Table </w:t>
      </w:r>
      <w:r w:rsidR="008F6694" w:rsidRPr="00791486">
        <w:rPr>
          <w:color w:val="FF0000"/>
          <w:lang w:val="en-US"/>
        </w:rPr>
        <w:t>10</w:t>
      </w:r>
      <w:r w:rsidRPr="00791486">
        <w:rPr>
          <w:color w:val="FF0000"/>
        </w:rPr>
        <w:t>.</w:t>
      </w:r>
      <w:r w:rsidR="008F6694" w:rsidRPr="00791486">
        <w:rPr>
          <w:color w:val="FF0000"/>
          <w:lang w:val="en-US"/>
        </w:rPr>
        <w:t>4</w:t>
      </w:r>
      <w:r w:rsidRPr="00791486">
        <w:rPr>
          <w:color w:val="FF0000"/>
        </w:rPr>
        <w:t xml:space="preserve">-1: </w:t>
      </w:r>
      <w:r w:rsidRPr="00791486">
        <w:rPr>
          <w:iCs/>
          <w:color w:val="FF0000"/>
          <w:lang w:val="en-US"/>
        </w:rPr>
        <w:t xml:space="preserve">P1 </w:t>
      </w:r>
      <w:r w:rsidRPr="00791486">
        <w:rPr>
          <w:color w:val="FF0000"/>
        </w:rPr>
        <w:t>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791486" w:rsidRPr="00791486" w14:paraId="42CBF56A" w14:textId="77777777" w:rsidTr="00046703">
        <w:trPr>
          <w:jc w:val="center"/>
        </w:trPr>
        <w:tc>
          <w:tcPr>
            <w:tcW w:w="2195" w:type="dxa"/>
            <w:tcBorders>
              <w:top w:val="single" w:sz="4" w:space="0" w:color="auto"/>
              <w:left w:val="single" w:sz="4" w:space="0" w:color="auto"/>
              <w:bottom w:val="single" w:sz="4" w:space="0" w:color="auto"/>
              <w:right w:val="single" w:sz="4" w:space="0" w:color="auto"/>
            </w:tcBorders>
          </w:tcPr>
          <w:p w14:paraId="236214AA" w14:textId="77777777" w:rsidR="00825864" w:rsidRPr="00791486" w:rsidRDefault="00825864" w:rsidP="00046703">
            <w:pPr>
              <w:pStyle w:val="TAC"/>
              <w:rPr>
                <w:rFonts w:eastAsia="Batang"/>
                <w:b/>
                <w:color w:val="FF0000"/>
                <w:lang w:eastAsia="fr-FR"/>
              </w:rPr>
            </w:pPr>
            <w:r w:rsidRPr="00791486">
              <w:rPr>
                <w:b/>
                <w:i/>
                <w:color w:val="FF0000"/>
                <w:lang w:val="en-AU"/>
              </w:rPr>
              <w:t>µ</w:t>
            </w:r>
            <w:r w:rsidRPr="00791486">
              <w:rPr>
                <w:b/>
                <w:i/>
                <w:color w:val="FF000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4BF87DE" w14:textId="1F62DCD0" w:rsidR="00825864" w:rsidRPr="00791486" w:rsidRDefault="005A4986" w:rsidP="00046703">
            <w:pPr>
              <w:pStyle w:val="TAC"/>
              <w:rPr>
                <w:rFonts w:eastAsia="Batang"/>
                <w:b/>
                <w:color w:val="FF0000"/>
                <w:lang w:eastAsia="fr-FR"/>
              </w:rPr>
            </w:pPr>
            <w:r w:rsidRPr="00791486">
              <w:rPr>
                <w:rFonts w:eastAsia="Batang"/>
                <w:b/>
                <w:color w:val="FF0000"/>
                <w:lang w:val="en-US" w:eastAsia="fr-FR"/>
              </w:rPr>
              <w:t>P1</w:t>
            </w:r>
            <w:r w:rsidR="00825864" w:rsidRPr="00791486">
              <w:rPr>
                <w:rFonts w:eastAsia="Batang"/>
                <w:b/>
                <w:color w:val="FF0000"/>
                <w:lang w:eastAsia="fr-FR"/>
              </w:rPr>
              <w:t xml:space="preserve"> [symbols]</w:t>
            </w:r>
          </w:p>
        </w:tc>
      </w:tr>
      <w:tr w:rsidR="00791486" w:rsidRPr="00791486" w14:paraId="3E6CF61F" w14:textId="77777777" w:rsidTr="00046703">
        <w:trPr>
          <w:jc w:val="center"/>
        </w:trPr>
        <w:tc>
          <w:tcPr>
            <w:tcW w:w="2195" w:type="dxa"/>
            <w:tcBorders>
              <w:top w:val="single" w:sz="4" w:space="0" w:color="auto"/>
              <w:left w:val="single" w:sz="4" w:space="0" w:color="auto"/>
              <w:bottom w:val="single" w:sz="4" w:space="0" w:color="auto"/>
              <w:right w:val="single" w:sz="4" w:space="0" w:color="auto"/>
            </w:tcBorders>
            <w:hideMark/>
          </w:tcPr>
          <w:p w14:paraId="2592ABF7" w14:textId="77777777" w:rsidR="00825864" w:rsidRPr="00791486" w:rsidRDefault="00825864" w:rsidP="00046703">
            <w:pPr>
              <w:pStyle w:val="TAC"/>
              <w:rPr>
                <w:rFonts w:eastAsia="Batang"/>
                <w:color w:val="FF0000"/>
                <w:lang w:eastAsia="fr-FR"/>
              </w:rPr>
            </w:pPr>
            <w:r w:rsidRPr="00791486">
              <w:rPr>
                <w:rFonts w:eastAsia="Batang"/>
                <w:color w:val="FF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6DBEF03" w14:textId="77777777" w:rsidR="00825864" w:rsidRPr="00791486" w:rsidRDefault="00825864" w:rsidP="00046703">
            <w:pPr>
              <w:pStyle w:val="TAC"/>
              <w:rPr>
                <w:rFonts w:eastAsia="Batang"/>
                <w:color w:val="FF0000"/>
                <w:lang w:eastAsia="fr-FR"/>
              </w:rPr>
            </w:pPr>
            <w:r w:rsidRPr="00791486">
              <w:rPr>
                <w:rFonts w:eastAsia="Batang"/>
                <w:color w:val="FF0000"/>
                <w:lang w:eastAsia="fr-FR"/>
              </w:rPr>
              <w:t>4</w:t>
            </w:r>
          </w:p>
        </w:tc>
      </w:tr>
      <w:tr w:rsidR="00791486" w:rsidRPr="00791486" w14:paraId="1813FA2F" w14:textId="77777777" w:rsidTr="00046703">
        <w:trPr>
          <w:jc w:val="center"/>
        </w:trPr>
        <w:tc>
          <w:tcPr>
            <w:tcW w:w="2195" w:type="dxa"/>
            <w:tcBorders>
              <w:top w:val="single" w:sz="4" w:space="0" w:color="auto"/>
              <w:left w:val="single" w:sz="4" w:space="0" w:color="auto"/>
              <w:bottom w:val="single" w:sz="4" w:space="0" w:color="auto"/>
              <w:right w:val="single" w:sz="4" w:space="0" w:color="auto"/>
            </w:tcBorders>
            <w:hideMark/>
          </w:tcPr>
          <w:p w14:paraId="752AC74B" w14:textId="77777777" w:rsidR="00825864" w:rsidRPr="00791486" w:rsidRDefault="00825864" w:rsidP="00046703">
            <w:pPr>
              <w:pStyle w:val="TAC"/>
              <w:rPr>
                <w:rFonts w:eastAsia="Batang"/>
                <w:color w:val="FF0000"/>
                <w:lang w:eastAsia="fr-FR"/>
              </w:rPr>
            </w:pPr>
            <w:r w:rsidRPr="00791486">
              <w:rPr>
                <w:rFonts w:eastAsia="Batang"/>
                <w:color w:val="FF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52C85C1" w14:textId="77777777" w:rsidR="00825864" w:rsidRPr="00791486" w:rsidRDefault="00825864" w:rsidP="00046703">
            <w:pPr>
              <w:pStyle w:val="TAC"/>
              <w:rPr>
                <w:rFonts w:eastAsia="Batang"/>
                <w:color w:val="FF0000"/>
                <w:lang w:eastAsia="fr-FR"/>
              </w:rPr>
            </w:pPr>
            <w:r w:rsidRPr="00791486">
              <w:rPr>
                <w:rFonts w:eastAsia="Batang"/>
                <w:color w:val="FF0000"/>
                <w:lang w:eastAsia="fr-FR"/>
              </w:rPr>
              <w:t>5</w:t>
            </w:r>
          </w:p>
        </w:tc>
      </w:tr>
      <w:tr w:rsidR="00791486" w:rsidRPr="00791486" w14:paraId="69240080" w14:textId="77777777" w:rsidTr="00046703">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17191F9" w14:textId="77777777" w:rsidR="00825864" w:rsidRPr="00791486" w:rsidRDefault="00825864" w:rsidP="00046703">
            <w:pPr>
              <w:pStyle w:val="TAC"/>
              <w:rPr>
                <w:rFonts w:eastAsia="Batang"/>
                <w:color w:val="FF0000"/>
                <w:lang w:eastAsia="fr-FR"/>
              </w:rPr>
            </w:pPr>
            <w:r w:rsidRPr="00791486">
              <w:rPr>
                <w:rFonts w:eastAsia="Batang"/>
                <w:color w:val="FF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CF9E071" w14:textId="77777777" w:rsidR="00825864" w:rsidRPr="00791486" w:rsidRDefault="00825864" w:rsidP="00046703">
            <w:pPr>
              <w:pStyle w:val="TAC"/>
              <w:rPr>
                <w:rFonts w:eastAsia="Batang"/>
                <w:color w:val="FF0000"/>
                <w:lang w:eastAsia="fr-FR"/>
              </w:rPr>
            </w:pPr>
            <w:r w:rsidRPr="00791486">
              <w:rPr>
                <w:rFonts w:eastAsia="Batang"/>
                <w:color w:val="FF0000"/>
                <w:lang w:eastAsia="fr-FR"/>
              </w:rPr>
              <w:t>10</w:t>
            </w:r>
          </w:p>
        </w:tc>
      </w:tr>
      <w:tr w:rsidR="00791486" w:rsidRPr="00791486" w14:paraId="16134AC4" w14:textId="77777777" w:rsidTr="00046703">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5342A35" w14:textId="77777777" w:rsidR="00825864" w:rsidRPr="00791486" w:rsidRDefault="00825864" w:rsidP="00046703">
            <w:pPr>
              <w:pStyle w:val="TAC"/>
              <w:rPr>
                <w:rFonts w:eastAsia="Batang"/>
                <w:color w:val="FF0000"/>
                <w:lang w:eastAsia="fr-FR"/>
              </w:rPr>
            </w:pPr>
            <w:r w:rsidRPr="00791486">
              <w:rPr>
                <w:rFonts w:eastAsia="Batang"/>
                <w:color w:val="FF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5D4408D2" w14:textId="77777777" w:rsidR="00825864" w:rsidRPr="00791486" w:rsidRDefault="00825864" w:rsidP="00046703">
            <w:pPr>
              <w:pStyle w:val="TAC"/>
              <w:rPr>
                <w:rFonts w:eastAsia="Batang"/>
                <w:color w:val="FF0000"/>
                <w:lang w:eastAsia="fr-FR"/>
              </w:rPr>
            </w:pPr>
            <w:r w:rsidRPr="00791486">
              <w:rPr>
                <w:rFonts w:eastAsia="Batang"/>
                <w:color w:val="FF0000"/>
                <w:lang w:eastAsia="fr-FR"/>
              </w:rPr>
              <w:t>14</w:t>
            </w:r>
          </w:p>
        </w:tc>
      </w:tr>
    </w:tbl>
    <w:p w14:paraId="538D5048" w14:textId="77777777" w:rsidR="005A4986" w:rsidRDefault="005A4986" w:rsidP="00B36D04">
      <w:pPr>
        <w:pStyle w:val="Proposal"/>
        <w:numPr>
          <w:ilvl w:val="0"/>
          <w:numId w:val="0"/>
        </w:numPr>
        <w:rPr>
          <w:b w:val="0"/>
          <w:bCs w:val="0"/>
        </w:rPr>
      </w:pPr>
    </w:p>
    <w:p w14:paraId="423A0F45" w14:textId="11E32EF6" w:rsidR="005A4986" w:rsidRPr="00791486" w:rsidRDefault="005A4986" w:rsidP="00791486">
      <w:pPr>
        <w:pStyle w:val="BodyText"/>
        <w:rPr>
          <w:b/>
          <w:bCs/>
        </w:rPr>
      </w:pPr>
      <w:bookmarkStart w:id="11" w:name="_Toc32604932"/>
      <w:r w:rsidRPr="00791486">
        <w:rPr>
          <w:b/>
          <w:bCs/>
        </w:rPr>
        <w:t>------ End TP ----------</w:t>
      </w:r>
      <w:bookmarkEnd w:id="11"/>
    </w:p>
    <w:p w14:paraId="43850542" w14:textId="77777777" w:rsidR="00C01F33" w:rsidRPr="00CE0424" w:rsidRDefault="00C01F33" w:rsidP="00CE0424">
      <w:pPr>
        <w:pStyle w:val="Heading1"/>
      </w:pPr>
      <w:r w:rsidRPr="00CE0424">
        <w:t>Conclusion</w:t>
      </w:r>
    </w:p>
    <w:p w14:paraId="2F33902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CE8F676" w14:textId="77777777" w:rsidR="00791486"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32609244" w:history="1">
        <w:r w:rsidR="00791486" w:rsidRPr="00B546EC">
          <w:rPr>
            <w:rStyle w:val="Hyperlink"/>
            <w:noProof/>
          </w:rPr>
          <w:t>Proposal 1</w:t>
        </w:r>
        <w:r w:rsidR="00791486">
          <w:rPr>
            <w:rFonts w:asciiTheme="minorHAnsi" w:eastAsiaTheme="minorEastAsia" w:hAnsiTheme="minorHAnsi"/>
            <w:b w:val="0"/>
            <w:noProof/>
            <w:lang w:eastAsia="en-US"/>
          </w:rPr>
          <w:tab/>
        </w:r>
        <w:r w:rsidR="00791486" w:rsidRPr="00B546EC">
          <w:rPr>
            <w:rStyle w:val="Hyperlink"/>
            <w:noProof/>
          </w:rPr>
          <w:t>The size of the list of configured channel occupancy durations for a serving cell (in the field co-DurationList-r16) can range from 1 to 64 channel occupancy duration values (co-Duration-r16).</w:t>
        </w:r>
      </w:hyperlink>
    </w:p>
    <w:p w14:paraId="5043EEF3" w14:textId="77777777" w:rsidR="00791486" w:rsidRDefault="00791486">
      <w:pPr>
        <w:pStyle w:val="TableofFigures"/>
        <w:tabs>
          <w:tab w:val="right" w:leader="dot" w:pos="9629"/>
        </w:tabs>
        <w:rPr>
          <w:rFonts w:asciiTheme="minorHAnsi" w:eastAsiaTheme="minorEastAsia" w:hAnsiTheme="minorHAnsi"/>
          <w:b w:val="0"/>
          <w:noProof/>
          <w:lang w:eastAsia="en-US"/>
        </w:rPr>
      </w:pPr>
      <w:hyperlink w:anchor="_Toc32609245" w:history="1">
        <w:r w:rsidRPr="00B546EC">
          <w:rPr>
            <w:rStyle w:val="Hyperlink"/>
            <w:noProof/>
          </w:rPr>
          <w:t>Proposal 2</w:t>
        </w:r>
        <w:r>
          <w:rPr>
            <w:rFonts w:asciiTheme="minorHAnsi" w:eastAsiaTheme="minorEastAsia" w:hAnsiTheme="minorHAnsi"/>
            <w:b w:val="0"/>
            <w:noProof/>
            <w:lang w:eastAsia="en-US"/>
          </w:rPr>
          <w:tab/>
        </w:r>
        <w:r w:rsidRPr="00B546EC">
          <w:rPr>
            <w:rStyle w:val="Hyperlink"/>
            <w:noProof/>
          </w:rPr>
          <w:t>The value for a single channel occupancy duration value (co-Duration-r16) can range from 0 to 20 ms with a granularity of one slot.</w:t>
        </w:r>
      </w:hyperlink>
    </w:p>
    <w:p w14:paraId="5932B133" w14:textId="77777777" w:rsidR="00791486" w:rsidRDefault="00791486">
      <w:pPr>
        <w:pStyle w:val="TableofFigures"/>
        <w:tabs>
          <w:tab w:val="right" w:leader="dot" w:pos="9629"/>
        </w:tabs>
        <w:rPr>
          <w:rFonts w:asciiTheme="minorHAnsi" w:eastAsiaTheme="minorEastAsia" w:hAnsiTheme="minorHAnsi"/>
          <w:b w:val="0"/>
          <w:noProof/>
          <w:lang w:eastAsia="en-US"/>
        </w:rPr>
      </w:pPr>
      <w:hyperlink w:anchor="_Toc32609246" w:history="1">
        <w:r w:rsidRPr="00B546EC">
          <w:rPr>
            <w:rStyle w:val="Hyperlink"/>
            <w:noProof/>
          </w:rPr>
          <w:t>Proposal 3</w:t>
        </w:r>
        <w:r>
          <w:rPr>
            <w:rFonts w:asciiTheme="minorHAnsi" w:eastAsiaTheme="minorEastAsia" w:hAnsiTheme="minorHAnsi"/>
            <w:b w:val="0"/>
            <w:noProof/>
            <w:lang w:eastAsia="en-US"/>
          </w:rPr>
          <w:tab/>
        </w:r>
        <w:r w:rsidRPr="00B546EC">
          <w:rPr>
            <w:rStyle w:val="Hyperlink"/>
            <w:noProof/>
          </w:rPr>
          <w:t>The number of cell groups that can be configured for search space switching in higher layer parameter searchSpaceSwitchingGroupList-r16 is 1 or 2.</w:t>
        </w:r>
      </w:hyperlink>
    </w:p>
    <w:p w14:paraId="08C4D1F7" w14:textId="77777777" w:rsidR="00791486" w:rsidRDefault="00791486">
      <w:pPr>
        <w:pStyle w:val="TableofFigures"/>
        <w:tabs>
          <w:tab w:val="right" w:leader="dot" w:pos="9629"/>
        </w:tabs>
        <w:rPr>
          <w:rFonts w:asciiTheme="minorHAnsi" w:eastAsiaTheme="minorEastAsia" w:hAnsiTheme="minorHAnsi"/>
          <w:b w:val="0"/>
          <w:noProof/>
          <w:lang w:eastAsia="en-US"/>
        </w:rPr>
      </w:pPr>
      <w:hyperlink w:anchor="_Toc32609247" w:history="1">
        <w:r w:rsidRPr="00B546EC">
          <w:rPr>
            <w:rStyle w:val="Hyperlink"/>
            <w:noProof/>
          </w:rPr>
          <w:t>Proposal 4</w:t>
        </w:r>
        <w:r>
          <w:rPr>
            <w:rFonts w:asciiTheme="minorHAnsi" w:eastAsiaTheme="minorEastAsia" w:hAnsiTheme="minorHAnsi"/>
            <w:b w:val="0"/>
            <w:noProof/>
            <w:lang w:eastAsia="en-US"/>
          </w:rPr>
          <w:tab/>
        </w:r>
        <w:r w:rsidRPr="00B546EC">
          <w:rPr>
            <w:rStyle w:val="Hyperlink"/>
            <w:noProof/>
          </w:rPr>
          <w:t>The higher layer parameter searchSpaceSwitchingTimer can take values in the range of 1 to 20 ms with a granularity of one slot.</w:t>
        </w:r>
      </w:hyperlink>
    </w:p>
    <w:p w14:paraId="01B79B72" w14:textId="77777777" w:rsidR="00791486" w:rsidRDefault="00791486">
      <w:pPr>
        <w:pStyle w:val="TableofFigures"/>
        <w:tabs>
          <w:tab w:val="right" w:leader="dot" w:pos="9629"/>
        </w:tabs>
        <w:rPr>
          <w:rFonts w:asciiTheme="minorHAnsi" w:eastAsiaTheme="minorEastAsia" w:hAnsiTheme="minorHAnsi"/>
          <w:b w:val="0"/>
          <w:noProof/>
          <w:lang w:eastAsia="en-US"/>
        </w:rPr>
      </w:pPr>
      <w:hyperlink w:anchor="_Toc32609248" w:history="1">
        <w:r w:rsidRPr="00B546EC">
          <w:rPr>
            <w:rStyle w:val="Hyperlink"/>
            <w:noProof/>
          </w:rPr>
          <w:t>Proposal 5</w:t>
        </w:r>
        <w:r>
          <w:rPr>
            <w:rFonts w:asciiTheme="minorHAnsi" w:eastAsiaTheme="minorEastAsia" w:hAnsiTheme="minorHAnsi"/>
            <w:b w:val="0"/>
            <w:noProof/>
            <w:lang w:eastAsia="en-US"/>
          </w:rPr>
          <w:tab/>
        </w:r>
        <w:r w:rsidRPr="00B546EC">
          <w:rPr>
            <w:rStyle w:val="Hyperlink"/>
            <w:noProof/>
          </w:rPr>
          <w:t>Any type CSS can be included in a cell group for search space switching. The corresponding FFS should be removed from the RRC parameter list. Inform RAN2 of this decision.</w:t>
        </w:r>
      </w:hyperlink>
    </w:p>
    <w:p w14:paraId="7BD3060E" w14:textId="77777777" w:rsidR="00791486" w:rsidRDefault="00791486">
      <w:pPr>
        <w:pStyle w:val="TableofFigures"/>
        <w:tabs>
          <w:tab w:val="right" w:leader="dot" w:pos="9629"/>
        </w:tabs>
        <w:rPr>
          <w:rFonts w:asciiTheme="minorHAnsi" w:eastAsiaTheme="minorEastAsia" w:hAnsiTheme="minorHAnsi"/>
          <w:b w:val="0"/>
          <w:noProof/>
          <w:lang w:eastAsia="en-US"/>
        </w:rPr>
      </w:pPr>
      <w:hyperlink w:anchor="_Toc32609249" w:history="1">
        <w:r w:rsidRPr="00B546EC">
          <w:rPr>
            <w:rStyle w:val="Hyperlink"/>
            <w:noProof/>
          </w:rPr>
          <w:t>Proposal 6</w:t>
        </w:r>
        <w:r>
          <w:rPr>
            <w:rFonts w:asciiTheme="minorHAnsi" w:eastAsiaTheme="minorEastAsia" w:hAnsiTheme="minorHAnsi"/>
            <w:b w:val="0"/>
            <w:noProof/>
            <w:lang w:eastAsia="en-US"/>
          </w:rPr>
          <w:tab/>
        </w:r>
        <w:r w:rsidRPr="00B546EC">
          <w:rPr>
            <w:rStyle w:val="Hyperlink"/>
            <w:noProof/>
          </w:rPr>
          <w:t>The processing times in Table 5.5-1 of 38.214 can be reused for the processing times for search space set switching. Specifically, the values in the table can provide the minimum number of symbols required from the end of the PDCCH indicating the search space set switch to the start of the slot where the search space set is switched.</w:t>
        </w:r>
      </w:hyperlink>
    </w:p>
    <w:p w14:paraId="4AD2F895" w14:textId="35FCC39C" w:rsidR="006E1C82" w:rsidRPr="00CE0424" w:rsidRDefault="006E1C82" w:rsidP="006E1C82">
      <w:pPr>
        <w:pStyle w:val="BodyText"/>
        <w:rPr>
          <w:b/>
          <w:bCs/>
        </w:rPr>
      </w:pPr>
      <w:r>
        <w:rPr>
          <w:b/>
          <w:bCs/>
        </w:rPr>
        <w:lastRenderedPageBreak/>
        <w:fldChar w:fldCharType="end"/>
      </w:r>
    </w:p>
    <w:p w14:paraId="0C652C29" w14:textId="77777777" w:rsidR="00F507D1" w:rsidRPr="00CE0424" w:rsidRDefault="00F507D1" w:rsidP="00CE0424">
      <w:pPr>
        <w:pStyle w:val="Heading1"/>
      </w:pPr>
      <w:bookmarkStart w:id="12" w:name="_In-sequence_SDU_delivery"/>
      <w:bookmarkEnd w:id="12"/>
      <w:r w:rsidRPr="00CE0424">
        <w:t>References</w:t>
      </w:r>
    </w:p>
    <w:p w14:paraId="4833A24B"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5FAEC" w14:textId="77777777" w:rsidR="009027D4" w:rsidRDefault="009027D4">
      <w:r>
        <w:separator/>
      </w:r>
    </w:p>
  </w:endnote>
  <w:endnote w:type="continuationSeparator" w:id="0">
    <w:p w14:paraId="4F61233F" w14:textId="77777777" w:rsidR="009027D4" w:rsidRDefault="00902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47068" w14:textId="77777777" w:rsidR="009027D4" w:rsidRDefault="009027D4">
      <w:r>
        <w:separator/>
      </w:r>
    </w:p>
  </w:footnote>
  <w:footnote w:type="continuationSeparator" w:id="0">
    <w:p w14:paraId="64809FC8" w14:textId="77777777" w:rsidR="009027D4" w:rsidRDefault="00902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E83E0A"/>
    <w:multiLevelType w:val="hybridMultilevel"/>
    <w:tmpl w:val="82A0B0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DF434B9"/>
    <w:multiLevelType w:val="hybridMultilevel"/>
    <w:tmpl w:val="2F1807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5"/>
  </w:num>
  <w:num w:numId="18">
    <w:abstractNumId w:val="7"/>
  </w:num>
  <w:num w:numId="19">
    <w:abstractNumId w:val="4"/>
  </w:num>
  <w:num w:numId="20">
    <w:abstractNumId w:val="25"/>
  </w:num>
  <w:num w:numId="21">
    <w:abstractNumId w:val="11"/>
  </w:num>
  <w:num w:numId="22">
    <w:abstractNumId w:val="24"/>
  </w:num>
  <w:num w:numId="23">
    <w:abstractNumId w:val="6"/>
  </w:num>
  <w:num w:numId="24">
    <w:abstractNumId w:val="12"/>
  </w:num>
  <w:num w:numId="25">
    <w:abstractNumId w:val="23"/>
  </w:num>
  <w:num w:numId="26">
    <w:abstractNumId w:val="21"/>
  </w:num>
  <w:num w:numId="2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892"/>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3014"/>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5AB"/>
    <w:rsid w:val="00151E23"/>
    <w:rsid w:val="001526E0"/>
    <w:rsid w:val="001551B5"/>
    <w:rsid w:val="001659C1"/>
    <w:rsid w:val="00172BC7"/>
    <w:rsid w:val="00173A8E"/>
    <w:rsid w:val="0017502C"/>
    <w:rsid w:val="001752AF"/>
    <w:rsid w:val="0018143F"/>
    <w:rsid w:val="00181FF8"/>
    <w:rsid w:val="00190AC1"/>
    <w:rsid w:val="0019341A"/>
    <w:rsid w:val="00197D9B"/>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0945"/>
    <w:rsid w:val="00201F3A"/>
    <w:rsid w:val="00203F96"/>
    <w:rsid w:val="002069B2"/>
    <w:rsid w:val="00207FA3"/>
    <w:rsid w:val="00214DA8"/>
    <w:rsid w:val="00215423"/>
    <w:rsid w:val="002158FA"/>
    <w:rsid w:val="00217B52"/>
    <w:rsid w:val="00220600"/>
    <w:rsid w:val="002224DB"/>
    <w:rsid w:val="00223FCB"/>
    <w:rsid w:val="002252C3"/>
    <w:rsid w:val="00225C54"/>
    <w:rsid w:val="00230765"/>
    <w:rsid w:val="00230D18"/>
    <w:rsid w:val="002319E4"/>
    <w:rsid w:val="002342D0"/>
    <w:rsid w:val="00235632"/>
    <w:rsid w:val="00235872"/>
    <w:rsid w:val="00241559"/>
    <w:rsid w:val="002435B3"/>
    <w:rsid w:val="002458EB"/>
    <w:rsid w:val="002500C8"/>
    <w:rsid w:val="00250CC2"/>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AFD"/>
    <w:rsid w:val="00346BBD"/>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10C"/>
    <w:rsid w:val="003E15FA"/>
    <w:rsid w:val="003E55E4"/>
    <w:rsid w:val="003E74E3"/>
    <w:rsid w:val="003F05C7"/>
    <w:rsid w:val="003F2CD4"/>
    <w:rsid w:val="003F581B"/>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35A3"/>
    <w:rsid w:val="00444F56"/>
    <w:rsid w:val="00446488"/>
    <w:rsid w:val="004517AA"/>
    <w:rsid w:val="00452CAC"/>
    <w:rsid w:val="00457565"/>
    <w:rsid w:val="00457B71"/>
    <w:rsid w:val="00462C95"/>
    <w:rsid w:val="00464689"/>
    <w:rsid w:val="004669E2"/>
    <w:rsid w:val="00470C31"/>
    <w:rsid w:val="00471DE0"/>
    <w:rsid w:val="004734D0"/>
    <w:rsid w:val="0047556B"/>
    <w:rsid w:val="00477768"/>
    <w:rsid w:val="00492BC5"/>
    <w:rsid w:val="004964F1"/>
    <w:rsid w:val="00497569"/>
    <w:rsid w:val="004A16BC"/>
    <w:rsid w:val="004A2B94"/>
    <w:rsid w:val="004B6F6A"/>
    <w:rsid w:val="004B7C0C"/>
    <w:rsid w:val="004C3898"/>
    <w:rsid w:val="004D14A1"/>
    <w:rsid w:val="004D36B1"/>
    <w:rsid w:val="004D495F"/>
    <w:rsid w:val="004D7EBD"/>
    <w:rsid w:val="004E2680"/>
    <w:rsid w:val="004E28F9"/>
    <w:rsid w:val="004E462E"/>
    <w:rsid w:val="004E56DC"/>
    <w:rsid w:val="004E76F4"/>
    <w:rsid w:val="004F0B4E"/>
    <w:rsid w:val="004F0B6C"/>
    <w:rsid w:val="004F2078"/>
    <w:rsid w:val="004F46A9"/>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272"/>
    <w:rsid w:val="005935A4"/>
    <w:rsid w:val="005948C2"/>
    <w:rsid w:val="00595DCA"/>
    <w:rsid w:val="0059779B"/>
    <w:rsid w:val="005A209A"/>
    <w:rsid w:val="005A4986"/>
    <w:rsid w:val="005A662D"/>
    <w:rsid w:val="005B1409"/>
    <w:rsid w:val="005B35D7"/>
    <w:rsid w:val="005B392A"/>
    <w:rsid w:val="005B3AA3"/>
    <w:rsid w:val="005B3B2B"/>
    <w:rsid w:val="005B6F83"/>
    <w:rsid w:val="005C74FB"/>
    <w:rsid w:val="005D1602"/>
    <w:rsid w:val="005D3831"/>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5527"/>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EB8"/>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736"/>
    <w:rsid w:val="00704EDB"/>
    <w:rsid w:val="00706101"/>
    <w:rsid w:val="00707072"/>
    <w:rsid w:val="00707D61"/>
    <w:rsid w:val="00712287"/>
    <w:rsid w:val="00712772"/>
    <w:rsid w:val="00713BC7"/>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1D04"/>
    <w:rsid w:val="007729A2"/>
    <w:rsid w:val="007755F2"/>
    <w:rsid w:val="00776971"/>
    <w:rsid w:val="00780A80"/>
    <w:rsid w:val="0078177E"/>
    <w:rsid w:val="0078304C"/>
    <w:rsid w:val="00783673"/>
    <w:rsid w:val="00785490"/>
    <w:rsid w:val="00791486"/>
    <w:rsid w:val="007925EA"/>
    <w:rsid w:val="00793CD8"/>
    <w:rsid w:val="00795C92"/>
    <w:rsid w:val="00796231"/>
    <w:rsid w:val="007A1B66"/>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86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ACE"/>
    <w:rsid w:val="008A2CE2"/>
    <w:rsid w:val="008A30AC"/>
    <w:rsid w:val="008A3925"/>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6694"/>
    <w:rsid w:val="00902350"/>
    <w:rsid w:val="009027D4"/>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479"/>
    <w:rsid w:val="00976949"/>
    <w:rsid w:val="00977EF6"/>
    <w:rsid w:val="00980477"/>
    <w:rsid w:val="00985253"/>
    <w:rsid w:val="009853B3"/>
    <w:rsid w:val="00990630"/>
    <w:rsid w:val="00991761"/>
    <w:rsid w:val="00994DCA"/>
    <w:rsid w:val="009960EC"/>
    <w:rsid w:val="009970DD"/>
    <w:rsid w:val="009A0FBA"/>
    <w:rsid w:val="009A1601"/>
    <w:rsid w:val="009A3BB6"/>
    <w:rsid w:val="009A3D0F"/>
    <w:rsid w:val="009A462D"/>
    <w:rsid w:val="009A5CBA"/>
    <w:rsid w:val="009B1F30"/>
    <w:rsid w:val="009B3AC2"/>
    <w:rsid w:val="009B4DF4"/>
    <w:rsid w:val="009B564E"/>
    <w:rsid w:val="009B7E87"/>
    <w:rsid w:val="009C0169"/>
    <w:rsid w:val="009C1AA7"/>
    <w:rsid w:val="009C2144"/>
    <w:rsid w:val="009C403E"/>
    <w:rsid w:val="009C4DC1"/>
    <w:rsid w:val="009D4FF0"/>
    <w:rsid w:val="009D703C"/>
    <w:rsid w:val="009D718F"/>
    <w:rsid w:val="009E068F"/>
    <w:rsid w:val="009E14E0"/>
    <w:rsid w:val="009E35DB"/>
    <w:rsid w:val="009E47A3"/>
    <w:rsid w:val="009F08F3"/>
    <w:rsid w:val="009F344F"/>
    <w:rsid w:val="00A00883"/>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1FFC"/>
    <w:rsid w:val="00A92879"/>
    <w:rsid w:val="00A9442A"/>
    <w:rsid w:val="00AA016F"/>
    <w:rsid w:val="00AA0DBF"/>
    <w:rsid w:val="00AA1ED6"/>
    <w:rsid w:val="00AA51D6"/>
    <w:rsid w:val="00AA6203"/>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2296"/>
    <w:rsid w:val="00B157F9"/>
    <w:rsid w:val="00B20256"/>
    <w:rsid w:val="00B20D09"/>
    <w:rsid w:val="00B2763F"/>
    <w:rsid w:val="00B27AAC"/>
    <w:rsid w:val="00B30929"/>
    <w:rsid w:val="00B36D04"/>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0DD7"/>
    <w:rsid w:val="00BE122D"/>
    <w:rsid w:val="00BE1234"/>
    <w:rsid w:val="00BE2FA6"/>
    <w:rsid w:val="00BE333F"/>
    <w:rsid w:val="00BE7371"/>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121B"/>
    <w:rsid w:val="00C465E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D38"/>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BC3"/>
    <w:rsid w:val="00D10249"/>
    <w:rsid w:val="00D115C3"/>
    <w:rsid w:val="00D11897"/>
    <w:rsid w:val="00D13135"/>
    <w:rsid w:val="00D13E4E"/>
    <w:rsid w:val="00D23004"/>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78D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6B18"/>
    <w:rsid w:val="00E110E7"/>
    <w:rsid w:val="00E11B20"/>
    <w:rsid w:val="00E17FA2"/>
    <w:rsid w:val="00E22330"/>
    <w:rsid w:val="00E30B5A"/>
    <w:rsid w:val="00E3123D"/>
    <w:rsid w:val="00E31461"/>
    <w:rsid w:val="00E31D43"/>
    <w:rsid w:val="00E32608"/>
    <w:rsid w:val="00E3270B"/>
    <w:rsid w:val="00E34188"/>
    <w:rsid w:val="00E34B6E"/>
    <w:rsid w:val="00E35559"/>
    <w:rsid w:val="00E3723A"/>
    <w:rsid w:val="00E37860"/>
    <w:rsid w:val="00E4138E"/>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2AD"/>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BE"/>
    <w:rsid w:val="00F313D6"/>
    <w:rsid w:val="00F40F0C"/>
    <w:rsid w:val="00F4766C"/>
    <w:rsid w:val="00F5060E"/>
    <w:rsid w:val="00F507D1"/>
    <w:rsid w:val="00F519CE"/>
    <w:rsid w:val="00F51ADA"/>
    <w:rsid w:val="00F530C0"/>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E3E"/>
    <w:rsid w:val="00FC2940"/>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78CCB5"/>
  <w15:chartTrackingRefBased/>
  <w15:docId w15:val="{4FE5586F-971E-4035-B6CE-86E973B6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3552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355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552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TACChar">
    <w:name w:val="TAC Char"/>
    <w:link w:val="TAC"/>
    <w:qFormat/>
    <w:locked/>
    <w:rsid w:val="00825864"/>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73786">
      <w:bodyDiv w:val="1"/>
      <w:marLeft w:val="0"/>
      <w:marRight w:val="0"/>
      <w:marTop w:val="0"/>
      <w:marBottom w:val="0"/>
      <w:divBdr>
        <w:top w:val="none" w:sz="0" w:space="0" w:color="auto"/>
        <w:left w:val="none" w:sz="0" w:space="0" w:color="auto"/>
        <w:bottom w:val="none" w:sz="0" w:space="0" w:color="auto"/>
        <w:right w:val="none" w:sz="0" w:space="0" w:color="auto"/>
      </w:divBdr>
    </w:div>
    <w:div w:id="137457435">
      <w:bodyDiv w:val="1"/>
      <w:marLeft w:val="0"/>
      <w:marRight w:val="0"/>
      <w:marTop w:val="0"/>
      <w:marBottom w:val="0"/>
      <w:divBdr>
        <w:top w:val="none" w:sz="0" w:space="0" w:color="auto"/>
        <w:left w:val="none" w:sz="0" w:space="0" w:color="auto"/>
        <w:bottom w:val="none" w:sz="0" w:space="0" w:color="auto"/>
        <w:right w:val="none" w:sz="0" w:space="0" w:color="auto"/>
      </w:divBdr>
    </w:div>
    <w:div w:id="179246238">
      <w:bodyDiv w:val="1"/>
      <w:marLeft w:val="0"/>
      <w:marRight w:val="0"/>
      <w:marTop w:val="0"/>
      <w:marBottom w:val="0"/>
      <w:divBdr>
        <w:top w:val="none" w:sz="0" w:space="0" w:color="auto"/>
        <w:left w:val="none" w:sz="0" w:space="0" w:color="auto"/>
        <w:bottom w:val="none" w:sz="0" w:space="0" w:color="auto"/>
        <w:right w:val="none" w:sz="0" w:space="0" w:color="auto"/>
      </w:divBdr>
    </w:div>
    <w:div w:id="297685536">
      <w:bodyDiv w:val="1"/>
      <w:marLeft w:val="0"/>
      <w:marRight w:val="0"/>
      <w:marTop w:val="0"/>
      <w:marBottom w:val="0"/>
      <w:divBdr>
        <w:top w:val="none" w:sz="0" w:space="0" w:color="auto"/>
        <w:left w:val="none" w:sz="0" w:space="0" w:color="auto"/>
        <w:bottom w:val="none" w:sz="0" w:space="0" w:color="auto"/>
        <w:right w:val="none" w:sz="0" w:space="0" w:color="auto"/>
      </w:divBdr>
    </w:div>
    <w:div w:id="327757936">
      <w:bodyDiv w:val="1"/>
      <w:marLeft w:val="0"/>
      <w:marRight w:val="0"/>
      <w:marTop w:val="0"/>
      <w:marBottom w:val="0"/>
      <w:divBdr>
        <w:top w:val="none" w:sz="0" w:space="0" w:color="auto"/>
        <w:left w:val="none" w:sz="0" w:space="0" w:color="auto"/>
        <w:bottom w:val="none" w:sz="0" w:space="0" w:color="auto"/>
        <w:right w:val="none" w:sz="0" w:space="0" w:color="auto"/>
      </w:divBdr>
    </w:div>
    <w:div w:id="854198123">
      <w:bodyDiv w:val="1"/>
      <w:marLeft w:val="0"/>
      <w:marRight w:val="0"/>
      <w:marTop w:val="0"/>
      <w:marBottom w:val="0"/>
      <w:divBdr>
        <w:top w:val="none" w:sz="0" w:space="0" w:color="auto"/>
        <w:left w:val="none" w:sz="0" w:space="0" w:color="auto"/>
        <w:bottom w:val="none" w:sz="0" w:space="0" w:color="auto"/>
        <w:right w:val="none" w:sz="0" w:space="0" w:color="auto"/>
      </w:divBdr>
    </w:div>
    <w:div w:id="983267661">
      <w:bodyDiv w:val="1"/>
      <w:marLeft w:val="0"/>
      <w:marRight w:val="0"/>
      <w:marTop w:val="0"/>
      <w:marBottom w:val="0"/>
      <w:divBdr>
        <w:top w:val="none" w:sz="0" w:space="0" w:color="auto"/>
        <w:left w:val="none" w:sz="0" w:space="0" w:color="auto"/>
        <w:bottom w:val="none" w:sz="0" w:space="0" w:color="auto"/>
        <w:right w:val="none" w:sz="0" w:space="0" w:color="auto"/>
      </w:divBdr>
    </w:div>
    <w:div w:id="1202747395">
      <w:bodyDiv w:val="1"/>
      <w:marLeft w:val="0"/>
      <w:marRight w:val="0"/>
      <w:marTop w:val="0"/>
      <w:marBottom w:val="0"/>
      <w:divBdr>
        <w:top w:val="none" w:sz="0" w:space="0" w:color="auto"/>
        <w:left w:val="none" w:sz="0" w:space="0" w:color="auto"/>
        <w:bottom w:val="none" w:sz="0" w:space="0" w:color="auto"/>
        <w:right w:val="none" w:sz="0" w:space="0" w:color="auto"/>
      </w:divBdr>
    </w:div>
    <w:div w:id="1717583968">
      <w:bodyDiv w:val="1"/>
      <w:marLeft w:val="0"/>
      <w:marRight w:val="0"/>
      <w:marTop w:val="0"/>
      <w:marBottom w:val="0"/>
      <w:divBdr>
        <w:top w:val="none" w:sz="0" w:space="0" w:color="auto"/>
        <w:left w:val="none" w:sz="0" w:space="0" w:color="auto"/>
        <w:bottom w:val="none" w:sz="0" w:space="0" w:color="auto"/>
        <w:right w:val="none" w:sz="0" w:space="0" w:color="auto"/>
      </w:divBdr>
    </w:div>
    <w:div w:id="196577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2BB82-8F43-477C-A02F-473D7B13B584}"/>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9b239327-9e80-40e4-b1b7-4394fed77a33"/>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s>
</ds:datastoreItem>
</file>

<file path=customXml/itemProps4.xml><?xml version="1.0" encoding="utf-8"?>
<ds:datastoreItem xmlns:ds="http://schemas.openxmlformats.org/officeDocument/2006/customXml" ds:itemID="{7A3303D0-EBF9-4DB5-B22B-64B3FEA24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715</TotalTime>
  <Pages>5</Pages>
  <Words>2152</Words>
  <Characters>10739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12866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31</cp:revision>
  <cp:lastPrinted>2008-01-31T07:09:00Z</cp:lastPrinted>
  <dcterms:created xsi:type="dcterms:W3CDTF">2020-01-22T23:23:00Z</dcterms:created>
  <dcterms:modified xsi:type="dcterms:W3CDTF">2020-02-15T05:48:00Z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